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olor w:val="auto"/>
        </w:rPr>
      </w:pPr>
    </w:p>
    <w:p>
      <w:pPr>
        <w:spacing w:line="560" w:lineRule="exact"/>
        <w:jc w:val="center"/>
        <w:rPr>
          <w:rFonts w:hint="eastAsia" w:ascii="宋体" w:hAnsi="宋体" w:eastAsia="方正小标宋简体" w:cs="方正小标宋简体"/>
          <w:color w:val="auto"/>
          <w:sz w:val="44"/>
          <w:szCs w:val="44"/>
        </w:rPr>
      </w:pPr>
      <w:r>
        <w:rPr>
          <w:rFonts w:hint="eastAsia" w:ascii="宋体" w:hAnsi="宋体" w:eastAsia="方正小标宋简体" w:cs="方正小标宋简体"/>
          <w:color w:val="auto"/>
          <w:sz w:val="44"/>
          <w:szCs w:val="44"/>
        </w:rPr>
        <w:t>山东省港口集团有限公司</w:t>
      </w:r>
    </w:p>
    <w:p>
      <w:pPr>
        <w:spacing w:line="560" w:lineRule="exact"/>
        <w:jc w:val="center"/>
        <w:rPr>
          <w:rFonts w:hint="eastAsia" w:ascii="宋体" w:hAnsi="宋体" w:eastAsia="方正小标宋简体" w:cs="方正小标宋简体"/>
          <w:color w:val="auto"/>
          <w:sz w:val="44"/>
          <w:szCs w:val="44"/>
        </w:rPr>
      </w:pPr>
      <w:r>
        <w:rPr>
          <w:rFonts w:hint="eastAsia" w:ascii="宋体" w:hAnsi="宋体" w:eastAsia="方正小标宋简体" w:cs="方正小标宋简体"/>
          <w:color w:val="auto"/>
          <w:sz w:val="44"/>
          <w:szCs w:val="44"/>
          <w:lang w:eastAsia="zh-CN"/>
        </w:rPr>
        <w:t>2021</w:t>
      </w:r>
      <w:r>
        <w:rPr>
          <w:rFonts w:hint="eastAsia" w:ascii="宋体" w:hAnsi="宋体" w:eastAsia="方正小标宋简体" w:cs="方正小标宋简体"/>
          <w:color w:val="auto"/>
          <w:sz w:val="44"/>
          <w:szCs w:val="44"/>
        </w:rPr>
        <w:t>年</w:t>
      </w:r>
      <w:r>
        <w:rPr>
          <w:rFonts w:hint="eastAsia" w:ascii="宋体" w:hAnsi="宋体" w:eastAsia="方正小标宋简体" w:cs="方正小标宋简体"/>
          <w:color w:val="auto"/>
          <w:sz w:val="44"/>
          <w:szCs w:val="44"/>
          <w:lang w:val="en-US" w:eastAsia="zh-CN"/>
        </w:rPr>
        <w:t>度</w:t>
      </w:r>
      <w:r>
        <w:rPr>
          <w:rFonts w:hint="eastAsia" w:ascii="宋体" w:hAnsi="宋体" w:eastAsia="方正小标宋简体" w:cs="方正小标宋简体"/>
          <w:color w:val="auto"/>
          <w:sz w:val="44"/>
          <w:szCs w:val="44"/>
        </w:rPr>
        <w:t>财务等重大信息公告</w:t>
      </w:r>
    </w:p>
    <w:p>
      <w:pPr>
        <w:spacing w:line="560" w:lineRule="exact"/>
        <w:ind w:firstLine="640" w:firstLineChars="200"/>
        <w:rPr>
          <w:rFonts w:hint="eastAsia" w:ascii="宋体" w:hAnsi="宋体" w:eastAsia="仿宋_GB2312" w:cs="仿宋_GB2312"/>
          <w:color w:val="auto"/>
          <w:sz w:val="32"/>
          <w:szCs w:val="32"/>
        </w:rPr>
      </w:pPr>
      <w:r>
        <w:rPr>
          <w:rFonts w:ascii="宋体" w:hAnsi="宋体"/>
          <w:color w:val="auto"/>
          <w:sz w:val="32"/>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334010</wp:posOffset>
                </wp:positionV>
                <wp:extent cx="5457825" cy="1170305"/>
                <wp:effectExtent l="6350" t="6350" r="22225" b="23495"/>
                <wp:wrapNone/>
                <wp:docPr id="4" name="矩形 4"/>
                <wp:cNvGraphicFramePr/>
                <a:graphic xmlns:a="http://schemas.openxmlformats.org/drawingml/2006/main">
                  <a:graphicData uri="http://schemas.microsoft.com/office/word/2010/wordprocessingShape">
                    <wps:wsp>
                      <wps:cNvSpPr/>
                      <wps:spPr>
                        <a:xfrm>
                          <a:off x="1351280" y="2282190"/>
                          <a:ext cx="5609590" cy="1219200"/>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rPr>
                            </w:pPr>
                            <w:r>
                              <w:rPr>
                                <w:rFonts w:hint="eastAsia" w:ascii="仿宋_GB2312" w:hAnsi="仿宋_GB2312" w:eastAsia="仿宋_GB2312" w:cs="仿宋_GB2312"/>
                                <w:sz w:val="32"/>
                                <w:szCs w:val="32"/>
                              </w:rPr>
                              <w:t>本公司董事会及全体董事保证本公告内容不存在任何虚假记载、误导性陈述或者重大遗漏，并对其内容的真实性、准确性和完整性承担个别及连带责任。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26.3pt;height:92.15pt;width:429.75pt;z-index:251661312;v-text-anchor:middle;mso-width-relative:page;mso-height-relative:page;" fillcolor="#FFFFFF" filled="t" stroked="t" coordsize="21600,21600" o:gfxdata="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6vJfzWAAAACQEAAA8AAAAAAAAA&#10;AQAgAAAAIgAAAGRycy9kb3ducmV2LnhtbFBLAQIUABQAAAAIAIdO4kC1rUFMhQIAABoFAAAOAAAA&#10;AAAAAAEAIAAAACUBAABkcnMvZTJvRG9jLnhtbFBLBQYAAAAABgAGAFkBAAAcBg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rPr>
                      </w:pPr>
                      <w:r>
                        <w:rPr>
                          <w:rFonts w:hint="eastAsia" w:ascii="仿宋_GB2312" w:hAnsi="仿宋_GB2312" w:eastAsia="仿宋_GB2312" w:cs="仿宋_GB2312"/>
                          <w:sz w:val="32"/>
                          <w:szCs w:val="32"/>
                        </w:rPr>
                        <w:t>本公司董事会及全体董事保证本公告内容不存在任何虚假记载、误导性陈述或者重大遗漏，并对其内容的真实性、准确性和完整性承担个别及连带责任。</w:t>
                      </w:r>
                    </w:p>
                  </w:txbxContent>
                </v:textbox>
              </v:rect>
            </w:pict>
          </mc:Fallback>
        </mc:AlternateContent>
      </w:r>
    </w:p>
    <w:p>
      <w:pPr>
        <w:spacing w:line="560" w:lineRule="exact"/>
        <w:ind w:firstLine="640" w:firstLineChars="200"/>
        <w:rPr>
          <w:rFonts w:hint="eastAsia" w:ascii="宋体" w:hAnsi="宋体" w:eastAsia="仿宋_GB2312" w:cs="仿宋_GB2312"/>
          <w:color w:val="auto"/>
          <w:sz w:val="32"/>
          <w:szCs w:val="32"/>
        </w:rPr>
      </w:pPr>
    </w:p>
    <w:p>
      <w:pPr>
        <w:spacing w:line="560" w:lineRule="exact"/>
        <w:ind w:firstLine="640" w:firstLineChars="200"/>
        <w:rPr>
          <w:rFonts w:hint="eastAsia" w:ascii="宋体" w:hAnsi="宋体" w:eastAsia="仿宋_GB2312" w:cs="仿宋_GB2312"/>
          <w:color w:val="auto"/>
          <w:sz w:val="32"/>
          <w:szCs w:val="32"/>
        </w:rPr>
      </w:pPr>
    </w:p>
    <w:p>
      <w:pPr>
        <w:spacing w:line="560" w:lineRule="exact"/>
        <w:ind w:firstLine="640" w:firstLineChars="200"/>
        <w:rPr>
          <w:rFonts w:hint="eastAsia" w:ascii="宋体" w:hAnsi="宋体" w:eastAsia="仿宋_GB2312" w:cs="仿宋_GB2312"/>
          <w:color w:val="auto"/>
          <w:sz w:val="32"/>
          <w:szCs w:val="32"/>
        </w:rPr>
      </w:pPr>
    </w:p>
    <w:p>
      <w:pPr>
        <w:spacing w:line="560" w:lineRule="exact"/>
        <w:ind w:firstLine="640" w:firstLineChars="200"/>
        <w:rPr>
          <w:rFonts w:hint="eastAsia" w:ascii="宋体" w:hAnsi="宋体" w:eastAsia="仿宋_GB2312" w:cs="仿宋_GB2312"/>
          <w:color w:val="auto"/>
          <w:sz w:val="32"/>
          <w:szCs w:val="32"/>
        </w:rPr>
      </w:pP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仿宋_GB2312"/>
          <w:color w:val="auto"/>
          <w:sz w:val="32"/>
          <w:szCs w:val="32"/>
        </w:rPr>
      </w:pPr>
      <w:r>
        <w:rPr>
          <w:rFonts w:hint="eastAsia" w:ascii="宋体" w:hAnsi="宋体" w:eastAsia="楷体_GB2312" w:cs="仿宋_GB2312"/>
          <w:color w:val="auto"/>
          <w:sz w:val="32"/>
          <w:szCs w:val="32"/>
        </w:rPr>
        <w:t>本信息公告口径说明：项目前面注明集团的为集团一级企业，未注明的为集团汇总口径。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黑体" w:cs="黑体"/>
          <w:color w:val="auto"/>
          <w:sz w:val="32"/>
          <w:szCs w:val="32"/>
        </w:rPr>
      </w:pPr>
      <w:r>
        <w:rPr>
          <w:rFonts w:hint="eastAsia" w:ascii="宋体" w:hAnsi="宋体" w:eastAsia="黑体" w:cs="黑体"/>
          <w:color w:val="auto"/>
          <w:sz w:val="32"/>
          <w:szCs w:val="32"/>
        </w:rPr>
        <w:t>一、公司基本情况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1</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中文名称：山东省港口集团有限公司</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 xml:space="preserve">简 </w:t>
      </w:r>
      <w:r>
        <w:rPr>
          <w:rFonts w:ascii="宋体" w:hAnsi="宋体" w:eastAsia="仿宋_GB2312" w:cs="仿宋_GB2312"/>
          <w:color w:val="auto"/>
          <w:sz w:val="32"/>
          <w:szCs w:val="32"/>
        </w:rPr>
        <w:t xml:space="preserve">   </w:t>
      </w:r>
      <w:r>
        <w:rPr>
          <w:rFonts w:hint="eastAsia" w:ascii="宋体" w:hAnsi="宋体" w:eastAsia="仿宋_GB2312" w:cs="仿宋_GB2312"/>
          <w:color w:val="auto"/>
          <w:sz w:val="32"/>
          <w:szCs w:val="32"/>
        </w:rPr>
        <w:t xml:space="preserve">称：山东省港口集团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2</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外文名称：Shandong Port Group Co., Ltd.</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3</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法定代表人：霍高原</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4</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注册地址：山东省青岛市市北区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rPr>
        <w:t>5</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经营范围：港口运营管理，港口产业投资，港口基础设施建设，港口和航运配套服务，海岸线及港区土地资源收储和开发利用，远洋和沿海航运，货物运输，仓储物流，大宗商品交易，股权和基金投资、管理、运营；船舶交易。</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rPr>
        <w:t>6</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办公地址：山东省青岛市市北区港极路7号山东港口大厦，邮编：266000</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7</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网址：http://www.sd-port.com/</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8</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电子信箱：bgs@sd-port.com</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9.公司简介：山东省港口集团有限公司是省属国有重要骨干企业，成立于2019年8月6日，总部位于山东青岛。拥有青岛港集团、日照港集团、烟台港集团、渤海湾港集团四</w:t>
      </w:r>
      <w:r>
        <w:rPr>
          <w:rFonts w:hint="eastAsia" w:ascii="宋体" w:hAnsi="宋体" w:eastAsia="仿宋_GB2312" w:cs="仿宋_GB2312"/>
          <w:color w:val="auto"/>
          <w:sz w:val="32"/>
          <w:szCs w:val="32"/>
          <w:lang w:val="en-US" w:eastAsia="zh-CN"/>
        </w:rPr>
        <w:t>个</w:t>
      </w:r>
      <w:r>
        <w:rPr>
          <w:rFonts w:hint="eastAsia" w:ascii="宋体" w:hAnsi="宋体" w:eastAsia="仿宋_GB2312" w:cs="仿宋_GB2312"/>
          <w:color w:val="auto"/>
          <w:sz w:val="32"/>
          <w:szCs w:val="32"/>
        </w:rPr>
        <w:t>港口集团，青岛港（601298.SH，06198.HK）、日照港（600017.SH）、日照港裕廊（6117.HK）三家上市公司，金控、港湾建设、产城融合、物流、航运、邮轮文旅、装备、贸易、科技、海外发展、职教、医养等十二个板块集团。目前，形成了“以青岛港为龙头，日照港、烟台港为两翼，渤海湾港为延展，各板块集团为支撑，众多内陆港为依托”的一体化协同发展格局，共有21个主要港区、330余个生产性泊位、310余条集装箱航线。</w:t>
      </w:r>
    </w:p>
    <w:p>
      <w:pPr>
        <w:pStyle w:val="3"/>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cs="Times New Roman"/>
          <w:b w:val="0"/>
          <w:bCs w:val="0"/>
          <w:color w:val="auto"/>
          <w:sz w:val="32"/>
          <w:szCs w:val="32"/>
          <w:lang w:val="en-US" w:eastAsia="zh-CN"/>
        </w:rPr>
      </w:pPr>
      <w:r>
        <w:rPr>
          <w:rFonts w:hint="eastAsia" w:ascii="宋体" w:hAnsi="宋体" w:eastAsia="黑体" w:cs="Times New Roman"/>
          <w:b w:val="0"/>
          <w:bCs w:val="0"/>
          <w:color w:val="auto"/>
          <w:sz w:val="32"/>
          <w:szCs w:val="32"/>
        </w:rPr>
        <w:t>二、</w:t>
      </w:r>
      <w:r>
        <w:rPr>
          <w:rFonts w:hint="eastAsia" w:ascii="宋体" w:hAnsi="宋体" w:eastAsia="黑体" w:cs="Times New Roman"/>
          <w:b w:val="0"/>
          <w:bCs w:val="0"/>
          <w:color w:val="auto"/>
          <w:sz w:val="32"/>
          <w:szCs w:val="32"/>
          <w:lang w:val="en-US" w:eastAsia="zh-CN"/>
        </w:rPr>
        <w:t>财务会计报告和审计报告摘要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（一）财务会计报告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1.主要会计数据和财务指标</w:t>
      </w:r>
    </w:p>
    <w:p>
      <w:pPr>
        <w:rPr>
          <w:rFonts w:ascii="宋体" w:hAnsi="宋体" w:eastAsia="仿宋"/>
          <w:color w:val="auto"/>
          <w:szCs w:val="21"/>
        </w:rPr>
      </w:pPr>
      <w:r>
        <w:rPr>
          <w:rFonts w:hint="eastAsia" w:ascii="宋体" w:hAnsi="宋体" w:eastAsia="仿宋"/>
          <w:color w:val="auto"/>
          <w:sz w:val="32"/>
          <w:szCs w:val="32"/>
        </w:rPr>
        <w:t xml:space="preserve"> </w:t>
      </w:r>
      <w:r>
        <w:rPr>
          <w:rFonts w:ascii="宋体" w:hAnsi="宋体" w:eastAsia="仿宋"/>
          <w:color w:val="auto"/>
          <w:sz w:val="32"/>
          <w:szCs w:val="32"/>
        </w:rPr>
        <w:t xml:space="preserve">                           </w:t>
      </w:r>
      <w:r>
        <w:rPr>
          <w:rFonts w:ascii="宋体" w:hAnsi="宋体" w:eastAsia="仿宋"/>
          <w:color w:val="auto"/>
          <w:szCs w:val="21"/>
        </w:rPr>
        <w:t xml:space="preserve">           </w:t>
      </w:r>
      <w:r>
        <w:rPr>
          <w:rFonts w:hint="eastAsia" w:ascii="宋体" w:hAnsi="宋体" w:eastAsia="仿宋"/>
          <w:color w:val="auto"/>
          <w:szCs w:val="21"/>
          <w:lang w:val="en-US" w:eastAsia="zh-CN"/>
        </w:rPr>
        <w:t xml:space="preserve">              </w:t>
      </w:r>
      <w:r>
        <w:rPr>
          <w:rFonts w:hint="eastAsia" w:ascii="宋体" w:hAnsi="宋体" w:eastAsia="仿宋_GB2312" w:cs="Times New Roman"/>
          <w:color w:val="auto"/>
          <w:sz w:val="22"/>
          <w:szCs w:val="22"/>
        </w:rPr>
        <w:t xml:space="preserve"> </w:t>
      </w:r>
      <w:r>
        <w:rPr>
          <w:rFonts w:hint="eastAsia" w:ascii="宋体" w:hAnsi="宋体" w:eastAsia="仿宋_GB2312" w:cs="Times New Roman"/>
          <w:color w:val="auto"/>
          <w:sz w:val="21"/>
          <w:szCs w:val="21"/>
        </w:rPr>
        <w:t xml:space="preserve"> 单位：万元 </w:t>
      </w:r>
      <w:r>
        <w:rPr>
          <w:rFonts w:hint="eastAsia" w:ascii="宋体" w:hAnsi="宋体" w:eastAsia="仿宋_GB2312" w:cs="Times New Roman"/>
          <w:color w:val="auto"/>
          <w:sz w:val="22"/>
          <w:szCs w:val="22"/>
        </w:rPr>
        <w:t xml:space="preserve">  </w:t>
      </w:r>
    </w:p>
    <w:tbl>
      <w:tblPr>
        <w:tblStyle w:val="8"/>
        <w:tblW w:w="0" w:type="auto"/>
        <w:tblInd w:w="349" w:type="dxa"/>
        <w:tblLayout w:type="fixed"/>
        <w:tblCellMar>
          <w:top w:w="0" w:type="dxa"/>
          <w:left w:w="108" w:type="dxa"/>
          <w:bottom w:w="0" w:type="dxa"/>
          <w:right w:w="108" w:type="dxa"/>
        </w:tblCellMar>
      </w:tblPr>
      <w:tblGrid>
        <w:gridCol w:w="2100"/>
        <w:gridCol w:w="2085"/>
        <w:gridCol w:w="2160"/>
        <w:gridCol w:w="2100"/>
      </w:tblGrid>
      <w:tr>
        <w:tblPrEx>
          <w:tblCellMar>
            <w:top w:w="0" w:type="dxa"/>
            <w:left w:w="108" w:type="dxa"/>
            <w:bottom w:w="0" w:type="dxa"/>
            <w:right w:w="108" w:type="dxa"/>
          </w:tblCellMar>
        </w:tblPrEx>
        <w:trPr>
          <w:trHeight w:val="283" w:hRule="atLeast"/>
        </w:trPr>
        <w:tc>
          <w:tcPr>
            <w:tcW w:w="2100" w:type="dxa"/>
            <w:tcBorders>
              <w:top w:val="single" w:color="auto" w:sz="8" w:space="0"/>
              <w:left w:val="single" w:color="auto" w:sz="8" w:space="0"/>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项目</w:t>
            </w:r>
          </w:p>
        </w:tc>
        <w:tc>
          <w:tcPr>
            <w:tcW w:w="2085" w:type="dxa"/>
            <w:tcBorders>
              <w:top w:val="single" w:color="auto" w:sz="8" w:space="0"/>
              <w:left w:val="nil"/>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本期金额</w:t>
            </w:r>
          </w:p>
        </w:tc>
        <w:tc>
          <w:tcPr>
            <w:tcW w:w="2160" w:type="dxa"/>
            <w:tcBorders>
              <w:top w:val="single" w:color="auto" w:sz="8" w:space="0"/>
              <w:left w:val="nil"/>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上期金额</w:t>
            </w:r>
          </w:p>
        </w:tc>
        <w:tc>
          <w:tcPr>
            <w:tcW w:w="2100" w:type="dxa"/>
            <w:tcBorders>
              <w:top w:val="single" w:color="auto" w:sz="8" w:space="0"/>
              <w:left w:val="nil"/>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变动比例（%）</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营业总收入</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8,398,272.35</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5,019,505.21</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67.31%</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营业总成本</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7,862,643.66</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4,575,461.05</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71.84%</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销售费用</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7,212.09</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5,552.40</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29.89%</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管理费用</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391,823.39</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340,271.72</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15.15%</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财务费用</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235,042.10</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245,197.97</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-4.14%</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投资收益</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194,779.50</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203,089.98</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-4.09%</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营业利润</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735,863.29</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653,135.96</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12.67%</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default" w:ascii="宋体" w:hAnsi="宋体" w:eastAsia="仿宋_GB2312" w:cs="Arial"/>
                <w:color w:val="auto"/>
                <w:kern w:val="0"/>
                <w:sz w:val="16"/>
                <w:szCs w:val="16"/>
                <w:lang w:val="en-US" w:eastAsia="zh-CN"/>
              </w:rPr>
            </w:pPr>
            <w:r>
              <w:rPr>
                <w:rFonts w:hint="eastAsia" w:ascii="宋体" w:hAnsi="宋体" w:eastAsia="仿宋_GB2312" w:cs="Arial"/>
                <w:color w:val="auto"/>
                <w:kern w:val="0"/>
                <w:sz w:val="16"/>
                <w:szCs w:val="16"/>
                <w:lang w:val="en-US" w:eastAsia="zh-CN"/>
              </w:rPr>
              <w:t>营业外收入</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34,028.04</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10,983.50</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209.81%</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default" w:ascii="宋体" w:hAnsi="宋体" w:eastAsia="仿宋_GB2312" w:cs="Arial"/>
                <w:color w:val="auto"/>
                <w:kern w:val="0"/>
                <w:sz w:val="16"/>
                <w:szCs w:val="16"/>
                <w:lang w:val="en-US" w:eastAsia="zh-CN"/>
              </w:rPr>
            </w:pPr>
            <w:r>
              <w:rPr>
                <w:rFonts w:hint="eastAsia" w:ascii="宋体" w:hAnsi="宋体" w:eastAsia="仿宋_GB2312" w:cs="Arial"/>
                <w:color w:val="auto"/>
                <w:kern w:val="0"/>
                <w:sz w:val="16"/>
                <w:szCs w:val="16"/>
                <w:lang w:val="en-US" w:eastAsia="zh-CN"/>
              </w:rPr>
              <w:t>营业外支出</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13,655.14</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18,222.62</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-25.06%</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利润总额</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756,236.20</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645,896.84</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17.08%</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已交税费总额</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389,375.93</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353,056.81</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10.29%</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净利润</w:t>
            </w:r>
          </w:p>
        </w:tc>
        <w:tc>
          <w:tcPr>
            <w:tcW w:w="2085"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527,194.17</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446,880.11</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17.97%</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default" w:ascii="宋体" w:hAnsi="宋体" w:eastAsia="仿宋_GB2312" w:cs="Arial"/>
                <w:color w:val="auto"/>
                <w:kern w:val="0"/>
                <w:sz w:val="16"/>
                <w:szCs w:val="16"/>
                <w:lang w:val="en-US" w:eastAsia="zh-CN"/>
              </w:rPr>
            </w:pPr>
            <w:r>
              <w:rPr>
                <w:rFonts w:hint="eastAsia" w:ascii="宋体" w:hAnsi="宋体" w:eastAsia="仿宋_GB2312" w:cs="Arial"/>
                <w:color w:val="auto"/>
                <w:kern w:val="0"/>
                <w:sz w:val="16"/>
                <w:szCs w:val="16"/>
                <w:lang w:val="en-US" w:eastAsia="zh-CN"/>
              </w:rPr>
              <w:t>营业利润率（%）</w:t>
            </w:r>
          </w:p>
        </w:tc>
        <w:tc>
          <w:tcPr>
            <w:tcW w:w="2085" w:type="dxa"/>
            <w:tcBorders>
              <w:top w:val="nil"/>
              <w:left w:val="nil"/>
              <w:bottom w:val="single" w:color="auto" w:sz="8" w:space="0"/>
              <w:right w:val="single" w:color="auto" w:sz="8" w:space="0"/>
            </w:tcBorders>
            <w:noWrap/>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8.76</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13.01</w:t>
            </w:r>
          </w:p>
        </w:tc>
        <w:tc>
          <w:tcPr>
            <w:tcW w:w="2100" w:type="dxa"/>
            <w:tcBorders>
              <w:top w:val="nil"/>
              <w:left w:val="nil"/>
              <w:bottom w:val="single" w:color="auto" w:sz="8" w:space="0"/>
              <w:right w:val="single" w:color="auto" w:sz="8" w:space="0"/>
            </w:tcBorders>
            <w:noWrap/>
            <w:vAlign w:val="center"/>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 xml:space="preserve"> - </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default" w:ascii="宋体" w:hAnsi="宋体" w:eastAsia="仿宋_GB2312" w:cs="Arial"/>
                <w:color w:val="auto"/>
                <w:kern w:val="0"/>
                <w:sz w:val="16"/>
                <w:szCs w:val="16"/>
                <w:lang w:val="en-US" w:eastAsia="zh-CN"/>
              </w:rPr>
            </w:pPr>
            <w:r>
              <w:rPr>
                <w:rFonts w:hint="eastAsia" w:ascii="宋体" w:hAnsi="宋体" w:eastAsia="仿宋_GB2312" w:cs="Arial"/>
                <w:color w:val="auto"/>
                <w:kern w:val="0"/>
                <w:sz w:val="16"/>
                <w:szCs w:val="16"/>
                <w:lang w:val="en-US" w:eastAsia="zh-CN"/>
              </w:rPr>
              <w:t>净资产收益率（%）</w:t>
            </w:r>
          </w:p>
        </w:tc>
        <w:tc>
          <w:tcPr>
            <w:tcW w:w="2085" w:type="dxa"/>
            <w:tcBorders>
              <w:top w:val="nil"/>
              <w:left w:val="nil"/>
              <w:bottom w:val="single" w:color="auto" w:sz="8" w:space="0"/>
              <w:right w:val="single" w:color="auto" w:sz="8" w:space="0"/>
            </w:tcBorders>
            <w:noWrap/>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5.31</w:t>
            </w:r>
          </w:p>
        </w:tc>
        <w:tc>
          <w:tcPr>
            <w:tcW w:w="2160" w:type="dxa"/>
            <w:tcBorders>
              <w:top w:val="nil"/>
              <w:left w:val="nil"/>
              <w:bottom w:val="single" w:color="auto" w:sz="8" w:space="0"/>
              <w:right w:val="single" w:color="auto" w:sz="8" w:space="0"/>
            </w:tcBorders>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lang w:val="en-US" w:eastAsia="zh-CN"/>
              </w:rPr>
              <w:t>4.77</w:t>
            </w:r>
          </w:p>
        </w:tc>
        <w:tc>
          <w:tcPr>
            <w:tcW w:w="2100" w:type="dxa"/>
            <w:tcBorders>
              <w:top w:val="nil"/>
              <w:left w:val="nil"/>
              <w:bottom w:val="single" w:color="auto" w:sz="8" w:space="0"/>
              <w:right w:val="single" w:color="auto" w:sz="8" w:space="0"/>
            </w:tcBorders>
            <w:noWrap/>
            <w:vAlign w:val="center"/>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 xml:space="preserve"> - </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项目</w:t>
            </w:r>
          </w:p>
        </w:tc>
        <w:tc>
          <w:tcPr>
            <w:tcW w:w="2085" w:type="dxa"/>
            <w:tcBorders>
              <w:top w:val="nil"/>
              <w:left w:val="nil"/>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期末余额</w:t>
            </w:r>
          </w:p>
        </w:tc>
        <w:tc>
          <w:tcPr>
            <w:tcW w:w="2160" w:type="dxa"/>
            <w:tcBorders>
              <w:top w:val="nil"/>
              <w:left w:val="nil"/>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年初余额</w:t>
            </w:r>
          </w:p>
        </w:tc>
        <w:tc>
          <w:tcPr>
            <w:tcW w:w="2100" w:type="dxa"/>
            <w:tcBorders>
              <w:top w:val="nil"/>
              <w:left w:val="nil"/>
              <w:bottom w:val="single" w:color="auto" w:sz="8" w:space="0"/>
              <w:right w:val="single" w:color="auto" w:sz="8" w:space="0"/>
            </w:tcBorders>
            <w:noWrap/>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变动比例（%）</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资产总额</w:t>
            </w:r>
          </w:p>
        </w:tc>
        <w:tc>
          <w:tcPr>
            <w:tcW w:w="2085" w:type="dxa"/>
            <w:tcBorders>
              <w:top w:val="nil"/>
              <w:left w:val="nil"/>
              <w:bottom w:val="single" w:color="auto" w:sz="8" w:space="0"/>
              <w:right w:val="single" w:color="auto" w:sz="8" w:space="0"/>
            </w:tcBorders>
            <w:noWrap w:val="0"/>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23,192,870.60</w:t>
            </w:r>
          </w:p>
        </w:tc>
        <w:tc>
          <w:tcPr>
            <w:tcW w:w="2160" w:type="dxa"/>
            <w:tcBorders>
              <w:top w:val="nil"/>
              <w:left w:val="nil"/>
              <w:bottom w:val="single" w:color="auto" w:sz="8" w:space="0"/>
              <w:right w:val="single" w:color="auto" w:sz="8" w:space="0"/>
            </w:tcBorders>
            <w:noWrap w:val="0"/>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21,476,240.50</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7.99%</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负债总额</w:t>
            </w:r>
          </w:p>
        </w:tc>
        <w:tc>
          <w:tcPr>
            <w:tcW w:w="2085" w:type="dxa"/>
            <w:tcBorders>
              <w:top w:val="nil"/>
              <w:left w:val="nil"/>
              <w:bottom w:val="single" w:color="auto" w:sz="8" w:space="0"/>
              <w:right w:val="single" w:color="auto" w:sz="8" w:space="0"/>
            </w:tcBorders>
            <w:noWrap w:val="0"/>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13,101,789.82</w:t>
            </w:r>
          </w:p>
        </w:tc>
        <w:tc>
          <w:tcPr>
            <w:tcW w:w="2160" w:type="dxa"/>
            <w:tcBorders>
              <w:top w:val="nil"/>
              <w:left w:val="nil"/>
              <w:bottom w:val="single" w:color="auto" w:sz="8" w:space="0"/>
              <w:right w:val="single" w:color="auto" w:sz="8" w:space="0"/>
            </w:tcBorders>
            <w:noWrap w:val="0"/>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11,713,414.09</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11.85%</w:t>
            </w:r>
          </w:p>
        </w:tc>
      </w:tr>
      <w:tr>
        <w:tblPrEx>
          <w:tblCellMar>
            <w:top w:w="0" w:type="dxa"/>
            <w:left w:w="108" w:type="dxa"/>
            <w:bottom w:w="0" w:type="dxa"/>
            <w:right w:w="108" w:type="dxa"/>
          </w:tblCellMar>
        </w:tblPrEx>
        <w:trPr>
          <w:trHeight w:val="283" w:hRule="atLeast"/>
        </w:trPr>
        <w:tc>
          <w:tcPr>
            <w:tcW w:w="2100" w:type="dxa"/>
            <w:tcBorders>
              <w:top w:val="nil"/>
              <w:left w:val="single" w:color="auto" w:sz="8" w:space="0"/>
              <w:bottom w:val="single" w:color="auto" w:sz="8" w:space="0"/>
              <w:right w:val="single" w:color="auto" w:sz="8" w:space="0"/>
            </w:tcBorders>
            <w:noWrap/>
            <w:vAlign w:val="center"/>
          </w:tcPr>
          <w:p>
            <w:pPr>
              <w:widowControl/>
              <w:jc w:val="center"/>
              <w:rPr>
                <w:rFonts w:hint="eastAsia" w:ascii="宋体" w:hAnsi="宋体" w:eastAsia="仿宋_GB2312" w:cs="Arial"/>
                <w:color w:val="auto"/>
                <w:kern w:val="0"/>
                <w:sz w:val="16"/>
                <w:szCs w:val="16"/>
              </w:rPr>
            </w:pPr>
            <w:r>
              <w:rPr>
                <w:rFonts w:hint="eastAsia" w:ascii="宋体" w:hAnsi="宋体" w:eastAsia="仿宋_GB2312" w:cs="Arial"/>
                <w:color w:val="auto"/>
                <w:kern w:val="0"/>
                <w:sz w:val="16"/>
                <w:szCs w:val="16"/>
                <w:lang w:val="en-US" w:eastAsia="zh-CN"/>
              </w:rPr>
              <w:t>所有者权益</w:t>
            </w:r>
          </w:p>
        </w:tc>
        <w:tc>
          <w:tcPr>
            <w:tcW w:w="2085" w:type="dxa"/>
            <w:tcBorders>
              <w:top w:val="nil"/>
              <w:left w:val="nil"/>
              <w:bottom w:val="single" w:color="auto" w:sz="8" w:space="0"/>
              <w:right w:val="single" w:color="auto" w:sz="8" w:space="0"/>
            </w:tcBorders>
            <w:noWrap w:val="0"/>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10,091,080.78</w:t>
            </w:r>
          </w:p>
        </w:tc>
        <w:tc>
          <w:tcPr>
            <w:tcW w:w="2160" w:type="dxa"/>
            <w:tcBorders>
              <w:top w:val="nil"/>
              <w:left w:val="nil"/>
              <w:bottom w:val="single" w:color="auto" w:sz="8" w:space="0"/>
              <w:right w:val="single" w:color="auto" w:sz="8" w:space="0"/>
            </w:tcBorders>
            <w:noWrap w:val="0"/>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9,762,826.41</w:t>
            </w:r>
          </w:p>
        </w:tc>
        <w:tc>
          <w:tcPr>
            <w:tcW w:w="2100" w:type="dxa"/>
            <w:tcBorders>
              <w:top w:val="nil"/>
              <w:left w:val="nil"/>
              <w:bottom w:val="single" w:color="auto" w:sz="8" w:space="0"/>
              <w:right w:val="single" w:color="auto" w:sz="8" w:space="0"/>
            </w:tcBorders>
            <w:noWrap/>
            <w:vAlign w:val="bottom"/>
          </w:tcPr>
          <w:p>
            <w:pPr>
              <w:jc w:val="right"/>
              <w:rPr>
                <w:rFonts w:hint="eastAsia" w:ascii="宋体" w:hAnsi="宋体" w:eastAsia="宋体" w:cs="Times New Roman"/>
                <w:color w:val="auto"/>
                <w:sz w:val="16"/>
                <w:szCs w:val="16"/>
                <w:lang w:val="en-US" w:eastAsia="zh-CN"/>
              </w:rPr>
            </w:pPr>
            <w:r>
              <w:rPr>
                <w:rFonts w:hint="eastAsia" w:ascii="宋体" w:hAnsi="宋体" w:eastAsia="宋体" w:cs="Times New Roman"/>
                <w:color w:val="auto"/>
                <w:sz w:val="16"/>
                <w:szCs w:val="16"/>
                <w:lang w:val="en-US" w:eastAsia="zh-CN"/>
              </w:rPr>
              <w:t>3.36%</w:t>
            </w:r>
          </w:p>
        </w:tc>
      </w:tr>
    </w:tbl>
    <w:p>
      <w:pPr>
        <w:spacing w:line="560" w:lineRule="exact"/>
        <w:ind w:firstLine="210" w:firstLineChars="100"/>
        <w:rPr>
          <w:rFonts w:hint="default" w:ascii="宋体" w:hAnsi="宋体" w:eastAsia="仿宋_GB2312" w:cs="仿宋_GB2312"/>
          <w:color w:val="auto"/>
          <w:sz w:val="21"/>
          <w:szCs w:val="21"/>
          <w:lang w:val="en-US" w:eastAsia="zh-CN"/>
        </w:rPr>
      </w:pPr>
      <w:r>
        <w:rPr>
          <w:rFonts w:hint="eastAsia" w:ascii="宋体" w:hAnsi="宋体" w:eastAsia="仿宋_GB2312" w:cs="仿宋_GB2312"/>
          <w:color w:val="auto"/>
          <w:sz w:val="21"/>
          <w:szCs w:val="21"/>
          <w:lang w:val="en-US" w:eastAsia="zh-CN"/>
        </w:rPr>
        <w:t>注：以上数据按照年度审计后的决算数据填报。</w:t>
      </w:r>
    </w:p>
    <w:p>
      <w:pPr>
        <w:spacing w:line="560" w:lineRule="exact"/>
        <w:ind w:firstLine="640" w:firstLineChars="200"/>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2.财务报表的编制基础</w:t>
      </w:r>
    </w:p>
    <w:p>
      <w:pPr>
        <w:spacing w:line="560" w:lineRule="exact"/>
        <w:ind w:firstLine="640" w:firstLineChars="200"/>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山东省港口集团财务报表以持续经营为基础，根据实际发生的交易和事项，按照财政部颁布的《企业会计准则》及相关规定编制。</w:t>
      </w:r>
    </w:p>
    <w:p>
      <w:pPr>
        <w:spacing w:line="560" w:lineRule="exact"/>
        <w:ind w:firstLine="640" w:firstLineChars="200"/>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根据山东省人民政府整合省内港口资源方案和2020年11月省国资委下发文件要求，</w:t>
      </w:r>
      <w:r>
        <w:rPr>
          <w:rFonts w:hint="eastAsia" w:ascii="宋体" w:hAnsi="宋体" w:eastAsia="仿宋_GB2312"/>
          <w:color w:val="auto"/>
          <w:sz w:val="32"/>
          <w:szCs w:val="32"/>
        </w:rPr>
        <w:t>港口集团财务报表编制，按汇总并抵消内部交易的口径编报</w:t>
      </w:r>
      <w:r>
        <w:rPr>
          <w:rFonts w:hint="eastAsia" w:ascii="宋体" w:hAnsi="宋体" w:eastAsia="仿宋_GB2312"/>
          <w:color w:val="auto"/>
          <w:sz w:val="32"/>
          <w:szCs w:val="32"/>
          <w:lang w:eastAsia="zh-CN"/>
        </w:rPr>
        <w:t>；</w:t>
      </w:r>
      <w:r>
        <w:rPr>
          <w:rFonts w:hint="eastAsia" w:ascii="宋体" w:hAnsi="宋体" w:eastAsia="仿宋_GB2312" w:cs="仿宋_GB2312"/>
          <w:color w:val="auto"/>
          <w:sz w:val="32"/>
          <w:szCs w:val="32"/>
          <w:lang w:val="en-US" w:eastAsia="zh-CN"/>
        </w:rPr>
        <w:t>2021年度合并的二级子公司共17户。</w:t>
      </w:r>
    </w:p>
    <w:p>
      <w:pPr>
        <w:numPr>
          <w:ilvl w:val="0"/>
          <w:numId w:val="0"/>
        </w:numPr>
        <w:spacing w:line="560" w:lineRule="exact"/>
        <w:ind w:firstLine="640" w:firstLineChars="200"/>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3.主要会计政策和会计估计变更及影响</w:t>
      </w:r>
    </w:p>
    <w:p>
      <w:pPr>
        <w:spacing w:line="560" w:lineRule="exact"/>
        <w:ind w:firstLine="640" w:firstLineChars="200"/>
        <w:rPr>
          <w:rFonts w:hint="eastAsia" w:ascii="宋体" w:hAnsi="宋体" w:eastAsia="仿宋_GB2312" w:cs="Times New Roman"/>
          <w:color w:val="auto"/>
          <w:sz w:val="32"/>
          <w:szCs w:val="32"/>
          <w:lang w:val="en-US" w:eastAsia="zh-CN"/>
        </w:rPr>
      </w:pPr>
      <w:r>
        <w:rPr>
          <w:rFonts w:hint="eastAsia" w:ascii="宋体" w:hAnsi="宋体" w:eastAsia="仿宋_GB2312" w:cs="Times New Roman"/>
          <w:color w:val="auto"/>
          <w:sz w:val="32"/>
          <w:szCs w:val="32"/>
          <w:lang w:val="en-US" w:eastAsia="zh-CN"/>
        </w:rPr>
        <w:t>（1）会计政策变更及影响</w:t>
      </w:r>
    </w:p>
    <w:p>
      <w:pPr>
        <w:spacing w:line="560" w:lineRule="exact"/>
        <w:ind w:firstLine="640" w:firstLineChars="200"/>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按照财政部相关文件要求，本集团非上市企业自2021年1月1日起，首次执行新收入准则、新金融工具准则和新租赁准则。首次执行以上三个新准则对可比期间信息不予调整，累计影响数调整2021年期初报表相关项目，资产、负债和所有者权益影响汇总如下：</w:t>
      </w:r>
    </w:p>
    <w:tbl>
      <w:tblPr>
        <w:tblStyle w:val="8"/>
        <w:tblpPr w:leftFromText="180" w:rightFromText="180" w:vertAnchor="text" w:horzAnchor="page" w:tblpXSpec="center" w:tblpY="712"/>
        <w:tblOverlap w:val="never"/>
        <w:tblW w:w="9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7"/>
        <w:gridCol w:w="1777"/>
        <w:gridCol w:w="1434"/>
        <w:gridCol w:w="1365"/>
        <w:gridCol w:w="1335"/>
        <w:gridCol w:w="1440"/>
        <w:gridCol w:w="17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37" w:type="dxa"/>
            <w:vMerge w:val="restart"/>
            <w:tcBorders>
              <w:top w:val="double" w:color="000000" w:sz="4"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项目</w:t>
            </w:r>
          </w:p>
        </w:tc>
        <w:tc>
          <w:tcPr>
            <w:tcW w:w="1777" w:type="dxa"/>
            <w:vMerge w:val="restart"/>
            <w:tcBorders>
              <w:top w:val="double" w:color="000000" w:sz="4"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2020年12月31日</w:t>
            </w:r>
          </w:p>
        </w:tc>
        <w:tc>
          <w:tcPr>
            <w:tcW w:w="5574" w:type="dxa"/>
            <w:gridSpan w:val="4"/>
            <w:tcBorders>
              <w:top w:val="double" w:color="000000" w:sz="4" w:space="0"/>
              <w:left w:val="nil"/>
              <w:bottom w:val="single" w:color="000000" w:sz="8" w:space="0"/>
              <w:right w:val="nil"/>
            </w:tcBorders>
            <w:noWrap/>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累计影响金额</w:t>
            </w:r>
          </w:p>
        </w:tc>
        <w:tc>
          <w:tcPr>
            <w:tcW w:w="173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2021年1月1日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37" w:type="dxa"/>
            <w:vMerge w:val="continue"/>
            <w:tcBorders>
              <w:top w:val="double" w:color="000000" w:sz="4" w:space="0"/>
              <w:left w:val="nil"/>
              <w:bottom w:val="single" w:color="000000" w:sz="8" w:space="0"/>
              <w:right w:val="single" w:color="000000" w:sz="8" w:space="0"/>
            </w:tcBorders>
            <w:noWrap/>
            <w:vAlign w:val="center"/>
          </w:tcPr>
          <w:p>
            <w:pPr>
              <w:jc w:val="center"/>
              <w:rPr>
                <w:rFonts w:hint="eastAsia" w:ascii="宋体" w:hAnsi="宋体" w:eastAsia="仿宋_GB2312" w:cs="仿宋_GB2312"/>
                <w:b/>
                <w:bCs/>
                <w:i w:val="0"/>
                <w:iCs w:val="0"/>
                <w:color w:val="auto"/>
                <w:sz w:val="18"/>
                <w:szCs w:val="18"/>
                <w:u w:val="none"/>
              </w:rPr>
            </w:pPr>
          </w:p>
        </w:tc>
        <w:tc>
          <w:tcPr>
            <w:tcW w:w="1777" w:type="dxa"/>
            <w:vMerge w:val="continue"/>
            <w:tcBorders>
              <w:top w:val="double" w:color="000000" w:sz="4" w:space="0"/>
              <w:left w:val="nil"/>
              <w:bottom w:val="single" w:color="000000" w:sz="8" w:space="0"/>
              <w:right w:val="single" w:color="000000" w:sz="8" w:space="0"/>
            </w:tcBorders>
            <w:noWrap/>
            <w:vAlign w:val="center"/>
          </w:tcPr>
          <w:p>
            <w:pPr>
              <w:jc w:val="center"/>
              <w:rPr>
                <w:rFonts w:hint="eastAsia" w:ascii="宋体" w:hAnsi="宋体" w:eastAsia="仿宋_GB2312" w:cs="仿宋_GB2312"/>
                <w:b/>
                <w:bCs/>
                <w:i w:val="0"/>
                <w:iCs w:val="0"/>
                <w:color w:val="auto"/>
                <w:sz w:val="18"/>
                <w:szCs w:val="18"/>
                <w:u w:val="none"/>
              </w:rPr>
            </w:pPr>
          </w:p>
        </w:tc>
        <w:tc>
          <w:tcPr>
            <w:tcW w:w="1434"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执行新金融工具准则调整</w:t>
            </w:r>
          </w:p>
        </w:tc>
        <w:tc>
          <w:tcPr>
            <w:tcW w:w="1365"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执行新收入准则影响</w:t>
            </w:r>
          </w:p>
        </w:tc>
        <w:tc>
          <w:tcPr>
            <w:tcW w:w="1335"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执行新租赁准则影响</w:t>
            </w:r>
          </w:p>
        </w:tc>
        <w:tc>
          <w:tcPr>
            <w:tcW w:w="1440" w:type="dxa"/>
            <w:tcBorders>
              <w:top w:val="single" w:color="000000" w:sz="8" w:space="0"/>
              <w:left w:val="nil"/>
              <w:bottom w:val="single" w:color="000000" w:sz="8" w:space="0"/>
              <w:right w:val="nil"/>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小计</w:t>
            </w:r>
          </w:p>
        </w:tc>
        <w:tc>
          <w:tcPr>
            <w:tcW w:w="173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37"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资产总计</w:t>
            </w:r>
          </w:p>
        </w:tc>
        <w:tc>
          <w:tcPr>
            <w:tcW w:w="1777"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214,844,982,355.65</w:t>
            </w:r>
          </w:p>
        </w:tc>
        <w:tc>
          <w:tcPr>
            <w:tcW w:w="1434"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-231,459,832.12</w:t>
            </w:r>
          </w:p>
        </w:tc>
        <w:tc>
          <w:tcPr>
            <w:tcW w:w="1365"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108,747,646.05</w:t>
            </w:r>
          </w:p>
        </w:tc>
        <w:tc>
          <w:tcPr>
            <w:tcW w:w="1335"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40,134,837.20</w:t>
            </w:r>
          </w:p>
        </w:tc>
        <w:tc>
          <w:tcPr>
            <w:tcW w:w="1440" w:type="dxa"/>
            <w:tcBorders>
              <w:top w:val="nil"/>
              <w:left w:val="nil"/>
              <w:bottom w:val="single" w:color="000000" w:sz="8" w:space="0"/>
              <w:right w:val="nil"/>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-82,577,348.87</w:t>
            </w:r>
          </w:p>
        </w:tc>
        <w:tc>
          <w:tcPr>
            <w:tcW w:w="17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214,762,405,006.78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37"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负债总计</w:t>
            </w:r>
          </w:p>
        </w:tc>
        <w:tc>
          <w:tcPr>
            <w:tcW w:w="1777"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116,977,963,313.76</w:t>
            </w:r>
          </w:p>
        </w:tc>
        <w:tc>
          <w:tcPr>
            <w:tcW w:w="1434"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7,295,115.71</w:t>
            </w:r>
          </w:p>
        </w:tc>
        <w:tc>
          <w:tcPr>
            <w:tcW w:w="1365"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108,747,646.05</w:t>
            </w:r>
          </w:p>
        </w:tc>
        <w:tc>
          <w:tcPr>
            <w:tcW w:w="1335"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40,134,837.21</w:t>
            </w:r>
          </w:p>
        </w:tc>
        <w:tc>
          <w:tcPr>
            <w:tcW w:w="1440" w:type="dxa"/>
            <w:tcBorders>
              <w:top w:val="nil"/>
              <w:left w:val="nil"/>
              <w:bottom w:val="single" w:color="000000" w:sz="8" w:space="0"/>
              <w:right w:val="nil"/>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156,177,598.97</w:t>
            </w:r>
          </w:p>
        </w:tc>
        <w:tc>
          <w:tcPr>
            <w:tcW w:w="17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117,134,140,912.73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37"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所有者权益总计</w:t>
            </w:r>
          </w:p>
        </w:tc>
        <w:tc>
          <w:tcPr>
            <w:tcW w:w="1777"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97,867,019,041.89</w:t>
            </w:r>
          </w:p>
        </w:tc>
        <w:tc>
          <w:tcPr>
            <w:tcW w:w="1434"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-238,754,947.84</w:t>
            </w:r>
          </w:p>
        </w:tc>
        <w:tc>
          <w:tcPr>
            <w:tcW w:w="1365" w:type="dxa"/>
            <w:tcBorders>
              <w:top w:val="nil"/>
              <w:left w:val="nil"/>
              <w:bottom w:val="single" w:color="000000" w:sz="8" w:space="0"/>
              <w:right w:val="single" w:color="000000" w:sz="8" w:space="0"/>
            </w:tcBorders>
            <w:noWrap/>
            <w:vAlign w:val="center"/>
          </w:tcPr>
          <w:p>
            <w:pPr>
              <w:jc w:val="right"/>
              <w:rPr>
                <w:rFonts w:hint="default" w:ascii="宋体" w:hAnsi="宋体" w:eastAsia="宋体" w:cs="Times New Roman"/>
                <w:i w:val="0"/>
                <w:iCs w:val="0"/>
                <w:color w:val="auto"/>
                <w:sz w:val="16"/>
                <w:szCs w:val="16"/>
                <w:u w:val="none"/>
              </w:rPr>
            </w:pPr>
          </w:p>
        </w:tc>
        <w:tc>
          <w:tcPr>
            <w:tcW w:w="1335" w:type="dxa"/>
            <w:tcBorders>
              <w:top w:val="nil"/>
              <w:left w:val="nil"/>
              <w:bottom w:val="single" w:color="000000" w:sz="8" w:space="0"/>
              <w:right w:val="single" w:color="000000" w:sz="8" w:space="0"/>
            </w:tcBorders>
            <w:noWrap/>
            <w:vAlign w:val="center"/>
          </w:tcPr>
          <w:p>
            <w:pPr>
              <w:jc w:val="right"/>
              <w:rPr>
                <w:rFonts w:hint="default" w:ascii="宋体" w:hAnsi="宋体" w:eastAsia="宋体" w:cs="Times New Roman"/>
                <w:i w:val="0"/>
                <w:iCs w:val="0"/>
                <w:color w:val="auto"/>
                <w:sz w:val="16"/>
                <w:szCs w:val="16"/>
                <w:u w:val="none"/>
              </w:rPr>
            </w:pPr>
          </w:p>
        </w:tc>
        <w:tc>
          <w:tcPr>
            <w:tcW w:w="1440" w:type="dxa"/>
            <w:tcBorders>
              <w:top w:val="nil"/>
              <w:left w:val="nil"/>
              <w:bottom w:val="single" w:color="000000" w:sz="8" w:space="0"/>
              <w:right w:val="nil"/>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-238,754,947.84</w:t>
            </w:r>
          </w:p>
        </w:tc>
        <w:tc>
          <w:tcPr>
            <w:tcW w:w="17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97,628,264,094.05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37"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其中：其他综合收益</w:t>
            </w:r>
          </w:p>
        </w:tc>
        <w:tc>
          <w:tcPr>
            <w:tcW w:w="1777"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717,213,911.79</w:t>
            </w:r>
          </w:p>
        </w:tc>
        <w:tc>
          <w:tcPr>
            <w:tcW w:w="1434" w:type="dxa"/>
            <w:tcBorders>
              <w:top w:val="nil"/>
              <w:left w:val="nil"/>
              <w:bottom w:val="single" w:color="000000" w:sz="8" w:space="0"/>
              <w:right w:val="single" w:color="000000" w:sz="8"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-198,738,411.29</w:t>
            </w:r>
          </w:p>
        </w:tc>
        <w:tc>
          <w:tcPr>
            <w:tcW w:w="1365" w:type="dxa"/>
            <w:tcBorders>
              <w:top w:val="nil"/>
              <w:left w:val="nil"/>
              <w:bottom w:val="single" w:color="000000" w:sz="8" w:space="0"/>
              <w:right w:val="single" w:color="000000" w:sz="8" w:space="0"/>
            </w:tcBorders>
            <w:noWrap/>
            <w:vAlign w:val="center"/>
          </w:tcPr>
          <w:p>
            <w:pPr>
              <w:jc w:val="right"/>
              <w:rPr>
                <w:rFonts w:hint="default" w:ascii="宋体" w:hAnsi="宋体" w:eastAsia="宋体" w:cs="Times New Roman"/>
                <w:i w:val="0"/>
                <w:iCs w:val="0"/>
                <w:color w:val="auto"/>
                <w:sz w:val="16"/>
                <w:szCs w:val="16"/>
                <w:u w:val="none"/>
              </w:rPr>
            </w:pPr>
          </w:p>
        </w:tc>
        <w:tc>
          <w:tcPr>
            <w:tcW w:w="1335" w:type="dxa"/>
            <w:tcBorders>
              <w:top w:val="nil"/>
              <w:left w:val="nil"/>
              <w:bottom w:val="single" w:color="000000" w:sz="8" w:space="0"/>
              <w:right w:val="single" w:color="000000" w:sz="8" w:space="0"/>
            </w:tcBorders>
            <w:noWrap/>
            <w:vAlign w:val="center"/>
          </w:tcPr>
          <w:p>
            <w:pPr>
              <w:jc w:val="right"/>
              <w:rPr>
                <w:rFonts w:hint="default" w:ascii="宋体" w:hAnsi="宋体" w:eastAsia="宋体" w:cs="Times New Roman"/>
                <w:i w:val="0"/>
                <w:iCs w:val="0"/>
                <w:color w:val="auto"/>
                <w:sz w:val="16"/>
                <w:szCs w:val="16"/>
                <w:u w:val="none"/>
              </w:rPr>
            </w:pPr>
          </w:p>
        </w:tc>
        <w:tc>
          <w:tcPr>
            <w:tcW w:w="1440" w:type="dxa"/>
            <w:tcBorders>
              <w:top w:val="nil"/>
              <w:left w:val="nil"/>
              <w:bottom w:val="single" w:color="000000" w:sz="8" w:space="0"/>
              <w:right w:val="nil"/>
            </w:tcBorders>
            <w:noWrap w:val="0"/>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-198,738,411.29</w:t>
            </w:r>
          </w:p>
        </w:tc>
        <w:tc>
          <w:tcPr>
            <w:tcW w:w="1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518,475,500.50</w:t>
            </w:r>
          </w:p>
        </w:tc>
      </w:tr>
    </w:tbl>
    <w:p>
      <w:pPr>
        <w:spacing w:line="560" w:lineRule="exact"/>
        <w:ind w:firstLine="7200" w:firstLineChars="3000"/>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24"/>
          <w:szCs w:val="24"/>
          <w:lang w:val="en-US" w:eastAsia="zh-CN"/>
        </w:rPr>
        <w:t>单位：元</w:t>
      </w:r>
    </w:p>
    <w:p>
      <w:pPr>
        <w:spacing w:line="560" w:lineRule="exact"/>
        <w:ind w:firstLine="640" w:firstLineChars="200"/>
        <w:rPr>
          <w:rFonts w:hint="eastAsia" w:ascii="宋体" w:hAnsi="宋体" w:eastAsia="仿宋_GB2312" w:cs="Times New Roman"/>
          <w:color w:val="auto"/>
          <w:sz w:val="32"/>
          <w:szCs w:val="32"/>
          <w:lang w:val="en-US" w:eastAsia="zh-CN"/>
        </w:rPr>
      </w:pPr>
      <w:r>
        <w:rPr>
          <w:rFonts w:hint="eastAsia" w:ascii="宋体" w:hAnsi="宋体" w:eastAsia="仿宋_GB2312" w:cs="Times New Roman"/>
          <w:color w:val="auto"/>
          <w:sz w:val="32"/>
          <w:szCs w:val="32"/>
          <w:lang w:val="en-US" w:eastAsia="zh-CN"/>
        </w:rPr>
        <w:t>（2）会计估计变更及影响</w:t>
      </w:r>
    </w:p>
    <w:p>
      <w:pPr>
        <w:spacing w:line="560" w:lineRule="exact"/>
        <w:ind w:firstLine="640" w:firstLineChars="200"/>
        <w:rPr>
          <w:rFonts w:hint="eastAsia" w:ascii="宋体" w:hAnsi="宋体" w:eastAsia="仿宋_GB2312" w:cs="仿宋_GB2312"/>
          <w:color w:val="auto"/>
          <w:sz w:val="32"/>
          <w:szCs w:val="32"/>
          <w:lang w:val="en-US" w:eastAsia="zh-CN"/>
        </w:rPr>
        <w:sectPr>
          <w:footerReference r:id="rId3" w:type="default"/>
          <w:footerReference r:id="rId4" w:type="even"/>
          <w:pgSz w:w="11907" w:h="16840"/>
          <w:pgMar w:top="1418" w:right="1701" w:bottom="1418" w:left="1701" w:header="851" w:footer="851" w:gutter="0"/>
          <w:pgNumType w:fmt="decimal" w:start="1"/>
          <w:cols w:space="720" w:num="1"/>
          <w:docGrid w:linePitch="331" w:charSpace="0"/>
        </w:sectPr>
      </w:pPr>
      <w:r>
        <w:rPr>
          <w:rFonts w:hint="eastAsia" w:ascii="宋体" w:hAnsi="宋体" w:eastAsia="仿宋_GB2312" w:cs="Times New Roman"/>
          <w:color w:val="auto"/>
          <w:sz w:val="32"/>
          <w:szCs w:val="32"/>
          <w:lang w:val="en-US" w:eastAsia="zh-CN"/>
        </w:rPr>
        <w:t>本集团本年度无会计估计变更。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4.合并财务报表主要项目注释（以下数据单位均为元）</w:t>
      </w:r>
    </w:p>
    <w:p>
      <w:pPr>
        <w:numPr>
          <w:ilvl w:val="0"/>
          <w:numId w:val="0"/>
        </w:numPr>
        <w:spacing w:line="560" w:lineRule="exact"/>
        <w:ind w:firstLine="640" w:firstLineChars="200"/>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（1）应收账款 </w:t>
      </w:r>
    </w:p>
    <w:tbl>
      <w:tblPr>
        <w:tblStyle w:val="8"/>
        <w:tblW w:w="4790" w:type="pct"/>
        <w:tblInd w:w="208"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28" w:type="dxa"/>
          <w:left w:w="108" w:type="dxa"/>
          <w:bottom w:w="28" w:type="dxa"/>
          <w:right w:w="108" w:type="dxa"/>
        </w:tblCellMar>
      </w:tblPr>
      <w:tblGrid>
        <w:gridCol w:w="3730"/>
        <w:gridCol w:w="2441"/>
        <w:gridCol w:w="250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blHeader/>
        </w:trPr>
        <w:tc>
          <w:tcPr>
            <w:tcW w:w="2148"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rPr>
              <w:t>类别</w:t>
            </w:r>
          </w:p>
        </w:tc>
        <w:tc>
          <w:tcPr>
            <w:tcW w:w="1406"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年末账面价值</w:t>
            </w:r>
          </w:p>
        </w:tc>
        <w:tc>
          <w:tcPr>
            <w:tcW w:w="1445" w:type="pct"/>
            <w:noWrap w:val="0"/>
            <w:vAlign w:val="center"/>
          </w:tcPr>
          <w:p>
            <w:pPr>
              <w:jc w:val="center"/>
              <w:rPr>
                <w:rFonts w:hint="default"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单项计提坏账准备的应收账款</w:t>
            </w:r>
          </w:p>
        </w:tc>
        <w:tc>
          <w:tcPr>
            <w:tcW w:w="1406" w:type="pct"/>
            <w:noWrap w:val="0"/>
            <w:vAlign w:val="center"/>
          </w:tcPr>
          <w:p>
            <w:pPr>
              <w:jc w:val="right"/>
              <w:rPr>
                <w:rFonts w:hint="eastAsia" w:ascii="宋体" w:hAnsi="宋体" w:eastAsia="仿宋_GB2312" w:cs="Times New Roman"/>
                <w:color w:val="auto"/>
                <w:sz w:val="16"/>
                <w:szCs w:val="16"/>
              </w:rPr>
            </w:pPr>
            <w:r>
              <w:rPr>
                <w:rFonts w:hint="eastAsia" w:ascii="宋体" w:hAnsi="宋体" w:eastAsia="宋体" w:cs="Times New Roman"/>
                <w:color w:val="auto"/>
                <w:sz w:val="16"/>
                <w:szCs w:val="16"/>
              </w:rPr>
              <w:t>54,186,424.58</w:t>
            </w: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213,293,641.15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按信用风险特征组合计提坏账准备的应收账款</w:t>
            </w:r>
          </w:p>
        </w:tc>
        <w:tc>
          <w:tcPr>
            <w:tcW w:w="1406" w:type="pct"/>
            <w:noWrap w:val="0"/>
            <w:vAlign w:val="center"/>
          </w:tcPr>
          <w:p>
            <w:pPr>
              <w:jc w:val="right"/>
              <w:rPr>
                <w:rFonts w:hint="eastAsia" w:ascii="宋体" w:hAnsi="宋体" w:eastAsia="仿宋_GB2312" w:cs="Times New Roman"/>
                <w:color w:val="auto"/>
                <w:sz w:val="16"/>
                <w:szCs w:val="16"/>
              </w:rPr>
            </w:pPr>
            <w:r>
              <w:rPr>
                <w:rFonts w:hint="eastAsia" w:ascii="宋体" w:hAnsi="宋体" w:eastAsia="宋体" w:cs="Times New Roman"/>
                <w:color w:val="auto"/>
                <w:sz w:val="16"/>
                <w:szCs w:val="16"/>
              </w:rPr>
              <w:t>6,695,120,320.59</w:t>
            </w: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6,927,525,085.01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其中：港口业务款组合</w:t>
            </w:r>
          </w:p>
        </w:tc>
        <w:tc>
          <w:tcPr>
            <w:tcW w:w="1406" w:type="pct"/>
            <w:noWrap w:val="0"/>
            <w:vAlign w:val="center"/>
          </w:tcPr>
          <w:p>
            <w:pPr>
              <w:jc w:val="right"/>
              <w:rPr>
                <w:rFonts w:hint="eastAsia" w:ascii="宋体" w:hAnsi="宋体" w:eastAsia="仿宋_GB2312" w:cs="Times New Roman"/>
                <w:color w:val="auto"/>
                <w:sz w:val="16"/>
                <w:szCs w:val="16"/>
              </w:rPr>
            </w:pPr>
            <w:r>
              <w:rPr>
                <w:rFonts w:hint="eastAsia" w:ascii="宋体" w:hAnsi="宋体" w:eastAsia="宋体" w:cs="Times New Roman"/>
                <w:color w:val="auto"/>
                <w:sz w:val="16"/>
                <w:szCs w:val="16"/>
              </w:rPr>
              <w:t>2,942,287,665.16</w:t>
            </w: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3,007,020,714.16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工程业务款组合</w:t>
            </w:r>
          </w:p>
        </w:tc>
        <w:tc>
          <w:tcPr>
            <w:tcW w:w="1406" w:type="pct"/>
            <w:noWrap w:val="0"/>
            <w:vAlign w:val="center"/>
          </w:tcPr>
          <w:p>
            <w:pPr>
              <w:jc w:val="right"/>
              <w:rPr>
                <w:rFonts w:hint="eastAsia" w:ascii="宋体" w:hAnsi="宋体" w:eastAsia="仿宋_GB2312" w:cs="Times New Roman"/>
                <w:color w:val="auto"/>
                <w:sz w:val="16"/>
                <w:szCs w:val="16"/>
              </w:rPr>
            </w:pPr>
            <w:r>
              <w:rPr>
                <w:rFonts w:hint="eastAsia" w:ascii="宋体" w:hAnsi="宋体" w:eastAsia="宋体" w:cs="Times New Roman"/>
                <w:color w:val="auto"/>
                <w:sz w:val="16"/>
                <w:szCs w:val="16"/>
              </w:rPr>
              <w:t>2,708,534,468.73</w:t>
            </w: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2,935,248,597.40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贸易业务款组合</w:t>
            </w:r>
          </w:p>
        </w:tc>
        <w:tc>
          <w:tcPr>
            <w:tcW w:w="1406" w:type="pct"/>
            <w:noWrap w:val="0"/>
            <w:vAlign w:val="center"/>
          </w:tcPr>
          <w:p>
            <w:pPr>
              <w:jc w:val="right"/>
              <w:rPr>
                <w:rFonts w:hint="eastAsia" w:ascii="宋体" w:hAnsi="宋体" w:eastAsia="仿宋_GB2312" w:cs="Times New Roman"/>
                <w:color w:val="auto"/>
                <w:sz w:val="16"/>
                <w:szCs w:val="16"/>
              </w:rPr>
            </w:pPr>
            <w:r>
              <w:rPr>
                <w:rFonts w:hint="eastAsia" w:ascii="宋体" w:hAnsi="宋体" w:eastAsia="宋体" w:cs="Times New Roman"/>
                <w:color w:val="auto"/>
                <w:sz w:val="16"/>
                <w:szCs w:val="16"/>
              </w:rPr>
              <w:t>820,028,304.04</w:t>
            </w: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890,622,538.19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金融业务款组合</w:t>
            </w:r>
          </w:p>
        </w:tc>
        <w:tc>
          <w:tcPr>
            <w:tcW w:w="1406" w:type="pct"/>
            <w:noWrap w:val="0"/>
            <w:vAlign w:val="center"/>
          </w:tcPr>
          <w:p>
            <w:pPr>
              <w:jc w:val="right"/>
              <w:rPr>
                <w:rFonts w:hint="eastAsia" w:ascii="宋体" w:hAnsi="宋体" w:eastAsia="仿宋_GB2312" w:cs="Times New Roman"/>
                <w:color w:val="auto"/>
                <w:sz w:val="16"/>
                <w:szCs w:val="16"/>
              </w:rPr>
            </w:pP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1,875,000.00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其他组合</w:t>
            </w:r>
          </w:p>
        </w:tc>
        <w:tc>
          <w:tcPr>
            <w:tcW w:w="1406" w:type="pct"/>
            <w:noWrap w:val="0"/>
            <w:vAlign w:val="center"/>
          </w:tcPr>
          <w:p>
            <w:pPr>
              <w:jc w:val="right"/>
              <w:rPr>
                <w:rFonts w:hint="eastAsia" w:ascii="宋体" w:hAnsi="宋体" w:eastAsia="仿宋_GB2312" w:cs="Times New Roman"/>
                <w:color w:val="auto"/>
                <w:sz w:val="16"/>
                <w:szCs w:val="16"/>
              </w:rPr>
            </w:pPr>
            <w:r>
              <w:rPr>
                <w:rFonts w:hint="eastAsia" w:ascii="宋体" w:hAnsi="宋体" w:eastAsia="宋体" w:cs="Times New Roman"/>
                <w:color w:val="auto"/>
                <w:sz w:val="16"/>
                <w:szCs w:val="16"/>
              </w:rPr>
              <w:t>224,269,882.66</w:t>
            </w:r>
          </w:p>
        </w:tc>
        <w:tc>
          <w:tcPr>
            <w:tcW w:w="1445"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92,758,235.26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69" w:hRule="atLeast"/>
        </w:trPr>
        <w:tc>
          <w:tcPr>
            <w:tcW w:w="2148" w:type="pct"/>
            <w:noWrap w:val="0"/>
            <w:vAlign w:val="center"/>
          </w:tcPr>
          <w:p>
            <w:pPr>
              <w:jc w:val="center"/>
              <w:rPr>
                <w:rFonts w:hint="eastAsia" w:ascii="宋体" w:hAnsi="宋体" w:eastAsia="仿宋_GB2312" w:cs="Times New Roman"/>
                <w:color w:val="auto"/>
                <w:sz w:val="16"/>
                <w:szCs w:val="16"/>
              </w:rPr>
            </w:pPr>
            <w:r>
              <w:rPr>
                <w:rFonts w:hint="eastAsia" w:ascii="宋体" w:hAnsi="宋体" w:eastAsia="仿宋_GB2312" w:cs="Times New Roman"/>
                <w:b/>
                <w:bCs/>
                <w:color w:val="auto"/>
                <w:sz w:val="16"/>
                <w:szCs w:val="16"/>
              </w:rPr>
              <w:t>合</w:t>
            </w:r>
            <w:r>
              <w:rPr>
                <w:rFonts w:hint="eastAsia" w:ascii="宋体" w:hAnsi="宋体" w:eastAsia="仿宋_GB2312" w:cs="Times New Roman"/>
                <w:b/>
                <w:bCs/>
                <w:color w:val="auto"/>
                <w:sz w:val="16"/>
                <w:szCs w:val="16"/>
                <w:lang w:val="en-US" w:eastAsia="zh-CN"/>
              </w:rPr>
              <w:t xml:space="preserve"> </w:t>
            </w:r>
            <w:r>
              <w:rPr>
                <w:rFonts w:hint="eastAsia" w:ascii="宋体" w:hAnsi="宋体" w:eastAsia="仿宋_GB2312" w:cs="Times New Roman"/>
                <w:b/>
                <w:bCs/>
                <w:color w:val="auto"/>
                <w:sz w:val="16"/>
                <w:szCs w:val="16"/>
              </w:rPr>
              <w:t>计</w:t>
            </w:r>
          </w:p>
        </w:tc>
        <w:tc>
          <w:tcPr>
            <w:tcW w:w="1406" w:type="pct"/>
            <w:noWrap w:val="0"/>
            <w:vAlign w:val="center"/>
          </w:tcPr>
          <w:p>
            <w:pPr>
              <w:jc w:val="right"/>
              <w:rPr>
                <w:rFonts w:hint="eastAsia" w:ascii="宋体" w:hAnsi="宋体" w:eastAsia="仿宋_GB2312" w:cs="Times New Roman"/>
                <w:b/>
                <w:bCs/>
                <w:color w:val="auto"/>
                <w:sz w:val="16"/>
                <w:szCs w:val="16"/>
              </w:rPr>
            </w:pPr>
            <w:r>
              <w:rPr>
                <w:rFonts w:hint="eastAsia" w:ascii="宋体" w:hAnsi="宋体" w:eastAsia="宋体" w:cs="Times New Roman"/>
                <w:b/>
                <w:bCs/>
                <w:color w:val="auto"/>
                <w:sz w:val="16"/>
                <w:szCs w:val="16"/>
              </w:rPr>
              <w:t>6,749,306,745.17</w:t>
            </w:r>
          </w:p>
        </w:tc>
        <w:tc>
          <w:tcPr>
            <w:tcW w:w="1445" w:type="pct"/>
            <w:noWrap w:val="0"/>
            <w:vAlign w:val="center"/>
          </w:tcPr>
          <w:p>
            <w:pPr>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7,140,818,726.16</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jc w:val="both"/>
        <w:textAlignment w:val="auto"/>
        <w:outlineLvl w:val="1"/>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（2）存货</w:t>
      </w:r>
    </w:p>
    <w:tbl>
      <w:tblPr>
        <w:tblStyle w:val="8"/>
        <w:tblpPr w:leftFromText="180" w:rightFromText="180" w:vertAnchor="text" w:horzAnchor="page" w:tblpX="1783" w:tblpY="47"/>
        <w:tblOverlap w:val="never"/>
        <w:tblW w:w="4797" w:type="pct"/>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44"/>
        <w:gridCol w:w="2473"/>
        <w:gridCol w:w="2476"/>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rPr>
              <w:t>项目</w:t>
            </w:r>
          </w:p>
        </w:tc>
        <w:tc>
          <w:tcPr>
            <w:tcW w:w="1422"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年末账面价值</w:t>
            </w:r>
          </w:p>
        </w:tc>
        <w:tc>
          <w:tcPr>
            <w:tcW w:w="1423"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原材料</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310,457,673.31</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274,315,834.33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自制半成品及在产品</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4,642,998,559.75</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2,826,095,814.58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其中：开发成本</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4,553,936,656.81</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2,655,103,379.01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库存商品（产成品）</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7,485,002,401.85</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3,421,294,269.82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其中：开发产品</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378,809,840.76</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472,111,663.37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周转材料（包装物、低值易耗品等）</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1,534,535.49</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1,276,328.75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消耗性生物资产</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10,893,069.32</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10,589,246.31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合同履约成本</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1,960,707,528.72</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811,605,314.46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其他</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689,742,904.44</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643,031,417.46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left"/>
              <w:rPr>
                <w:rFonts w:hint="default" w:ascii="宋体" w:hAnsi="宋体" w:eastAsia="仿宋_GB2312" w:cs="Times New Roman"/>
                <w:b w:val="0"/>
                <w:bCs w:val="0"/>
                <w:color w:val="auto"/>
                <w:sz w:val="16"/>
                <w:szCs w:val="16"/>
              </w:rPr>
            </w:pPr>
            <w:r>
              <w:rPr>
                <w:rFonts w:hint="default" w:ascii="宋体" w:hAnsi="宋体" w:eastAsia="仿宋_GB2312" w:cs="Times New Roman"/>
                <w:b w:val="0"/>
                <w:bCs w:val="0"/>
                <w:color w:val="auto"/>
                <w:sz w:val="16"/>
                <w:szCs w:val="16"/>
              </w:rPr>
              <w:t>其中：尚未开发的土地储备</w:t>
            </w:r>
          </w:p>
        </w:tc>
        <w:tc>
          <w:tcPr>
            <w:tcW w:w="1422"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421,756,954.59</w:t>
            </w:r>
          </w:p>
        </w:tc>
        <w:tc>
          <w:tcPr>
            <w:tcW w:w="1423" w:type="pct"/>
            <w:noWrap w:val="0"/>
            <w:vAlign w:val="center"/>
          </w:tcPr>
          <w:p>
            <w:pPr>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421,756,954.59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trPr>
        <w:tc>
          <w:tcPr>
            <w:tcW w:w="2153" w:type="pct"/>
            <w:noWrap w:val="0"/>
            <w:vAlign w:val="center"/>
          </w:tcPr>
          <w:p>
            <w:pPr>
              <w:jc w:val="center"/>
              <w:rPr>
                <w:rFonts w:hint="default" w:ascii="宋体" w:hAnsi="宋体" w:eastAsia="仿宋_GB2312" w:cs="Times New Roman"/>
                <w:b/>
                <w:bCs/>
                <w:color w:val="auto"/>
                <w:sz w:val="16"/>
                <w:szCs w:val="16"/>
              </w:rPr>
            </w:pPr>
            <w:r>
              <w:rPr>
                <w:rFonts w:hint="default" w:ascii="宋体" w:hAnsi="宋体" w:eastAsia="仿宋_GB2312" w:cs="Times New Roman"/>
                <w:b/>
                <w:bCs/>
                <w:color w:val="auto"/>
                <w:sz w:val="16"/>
                <w:szCs w:val="16"/>
              </w:rPr>
              <w:t>合</w:t>
            </w:r>
            <w:r>
              <w:rPr>
                <w:rFonts w:hint="default" w:ascii="宋体" w:hAnsi="宋体" w:eastAsia="仿宋_GB2312" w:cs="Times New Roman"/>
                <w:b/>
                <w:bCs/>
                <w:color w:val="auto"/>
                <w:sz w:val="16"/>
                <w:szCs w:val="16"/>
                <w:lang w:val="en-US" w:eastAsia="zh-CN"/>
              </w:rPr>
              <w:t xml:space="preserve"> </w:t>
            </w:r>
            <w:r>
              <w:rPr>
                <w:rFonts w:hint="default" w:ascii="宋体" w:hAnsi="宋体" w:eastAsia="仿宋_GB2312" w:cs="Times New Roman"/>
                <w:b/>
                <w:bCs/>
                <w:color w:val="auto"/>
                <w:sz w:val="16"/>
                <w:szCs w:val="16"/>
              </w:rPr>
              <w:t>计</w:t>
            </w:r>
          </w:p>
        </w:tc>
        <w:tc>
          <w:tcPr>
            <w:tcW w:w="1422" w:type="pct"/>
            <w:noWrap w:val="0"/>
            <w:vAlign w:val="center"/>
          </w:tcPr>
          <w:p>
            <w:pPr>
              <w:jc w:val="right"/>
              <w:rPr>
                <w:rFonts w:hint="default" w:ascii="宋体" w:hAnsi="宋体" w:eastAsia="宋体" w:cs="Times New Roman"/>
                <w:b/>
                <w:bCs/>
                <w:color w:val="auto"/>
                <w:sz w:val="16"/>
                <w:szCs w:val="16"/>
              </w:rPr>
            </w:pPr>
            <w:r>
              <w:rPr>
                <w:rFonts w:hint="default" w:ascii="宋体" w:hAnsi="宋体" w:eastAsia="宋体" w:cs="Times New Roman"/>
                <w:b/>
                <w:bCs/>
                <w:color w:val="auto"/>
                <w:sz w:val="16"/>
                <w:szCs w:val="16"/>
              </w:rPr>
              <w:t>15,101,336,672.88</w:t>
            </w:r>
          </w:p>
        </w:tc>
        <w:tc>
          <w:tcPr>
            <w:tcW w:w="1423" w:type="pct"/>
            <w:noWrap w:val="0"/>
            <w:vAlign w:val="center"/>
          </w:tcPr>
          <w:p>
            <w:pPr>
              <w:jc w:val="right"/>
              <w:rPr>
                <w:rFonts w:hint="default" w:ascii="宋体" w:hAnsi="宋体" w:eastAsia="宋体" w:cs="Times New Roman"/>
                <w:b/>
                <w:bCs/>
                <w:color w:val="auto"/>
                <w:sz w:val="16"/>
                <w:szCs w:val="16"/>
              </w:rPr>
            </w:pPr>
            <w:r>
              <w:rPr>
                <w:rFonts w:hint="default" w:ascii="宋体" w:hAnsi="宋体" w:eastAsia="宋体" w:cs="Times New Roman"/>
                <w:b/>
                <w:bCs/>
                <w:color w:val="auto"/>
                <w:sz w:val="16"/>
                <w:szCs w:val="16"/>
              </w:rPr>
              <w:t>7,988,208,225.71</w:t>
            </w:r>
          </w:p>
        </w:tc>
      </w:tr>
    </w:tbl>
    <w:p>
      <w:pPr>
        <w:numPr>
          <w:ilvl w:val="0"/>
          <w:numId w:val="0"/>
        </w:numPr>
        <w:adjustRightInd w:val="0"/>
        <w:spacing w:before="120" w:beforeLines="50" w:after="120" w:afterLines="50" w:line="360" w:lineRule="exact"/>
        <w:ind w:firstLine="640" w:firstLineChars="200"/>
        <w:jc w:val="both"/>
        <w:outlineLvl w:val="1"/>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（3）固定资产</w:t>
      </w:r>
    </w:p>
    <w:tbl>
      <w:tblPr>
        <w:tblStyle w:val="8"/>
        <w:tblW w:w="4878" w:type="pct"/>
        <w:tblInd w:w="218"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20"/>
        <w:gridCol w:w="2331"/>
        <w:gridCol w:w="278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104"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rPr>
              <w:t>项目</w:t>
            </w:r>
          </w:p>
        </w:tc>
        <w:tc>
          <w:tcPr>
            <w:tcW w:w="1318"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rPr>
              <w:t>年末账面价值</w:t>
            </w:r>
          </w:p>
        </w:tc>
        <w:tc>
          <w:tcPr>
            <w:tcW w:w="1577"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rPr>
              <w:t>年初账面价值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104" w:type="pct"/>
            <w:noWrap w:val="0"/>
            <w:vAlign w:val="center"/>
          </w:tcPr>
          <w:p>
            <w:pPr>
              <w:jc w:val="left"/>
              <w:rPr>
                <w:rFonts w:hint="eastAsia" w:ascii="宋体" w:hAnsi="宋体" w:eastAsia="仿宋_GB2312" w:cs="Times New Roman"/>
                <w:b w:val="0"/>
                <w:bCs w:val="0"/>
                <w:color w:val="auto"/>
                <w:sz w:val="16"/>
                <w:szCs w:val="16"/>
              </w:rPr>
            </w:pPr>
            <w:r>
              <w:rPr>
                <w:rFonts w:hint="eastAsia" w:ascii="宋体" w:hAnsi="宋体" w:eastAsia="仿宋_GB2312" w:cs="Times New Roman"/>
                <w:b w:val="0"/>
                <w:bCs w:val="0"/>
                <w:color w:val="auto"/>
                <w:sz w:val="16"/>
                <w:szCs w:val="16"/>
              </w:rPr>
              <w:t>固定资产</w:t>
            </w:r>
          </w:p>
        </w:tc>
        <w:tc>
          <w:tcPr>
            <w:tcW w:w="1318"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80,586,454,751.83</w:t>
            </w:r>
          </w:p>
        </w:tc>
        <w:tc>
          <w:tcPr>
            <w:tcW w:w="1577"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73,069,758,445.98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104" w:type="pct"/>
            <w:noWrap w:val="0"/>
            <w:vAlign w:val="center"/>
          </w:tcPr>
          <w:p>
            <w:pPr>
              <w:jc w:val="left"/>
              <w:rPr>
                <w:rFonts w:hint="eastAsia" w:ascii="宋体" w:hAnsi="宋体" w:eastAsia="仿宋_GB2312" w:cs="Times New Roman"/>
                <w:b w:val="0"/>
                <w:bCs w:val="0"/>
                <w:color w:val="auto"/>
                <w:sz w:val="16"/>
                <w:szCs w:val="16"/>
              </w:rPr>
            </w:pPr>
            <w:r>
              <w:rPr>
                <w:rFonts w:hint="eastAsia" w:ascii="宋体" w:hAnsi="宋体" w:eastAsia="仿宋_GB2312" w:cs="Times New Roman"/>
                <w:b w:val="0"/>
                <w:bCs w:val="0"/>
                <w:color w:val="auto"/>
                <w:sz w:val="16"/>
                <w:szCs w:val="16"/>
              </w:rPr>
              <w:t>固定资产清理</w:t>
            </w:r>
          </w:p>
        </w:tc>
        <w:tc>
          <w:tcPr>
            <w:tcW w:w="1318"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4,962,651.53</w:t>
            </w:r>
          </w:p>
        </w:tc>
        <w:tc>
          <w:tcPr>
            <w:tcW w:w="1577"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494,295.18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104" w:type="pct"/>
            <w:noWrap w:val="0"/>
            <w:vAlign w:val="center"/>
          </w:tcPr>
          <w:p>
            <w:pPr>
              <w:jc w:val="center"/>
              <w:rPr>
                <w:rFonts w:hint="eastAsia" w:ascii="宋体" w:hAnsi="宋体" w:eastAsia="仿宋_GB2312" w:cs="宋体"/>
                <w:b/>
                <w:bCs/>
                <w:color w:val="auto"/>
                <w:sz w:val="16"/>
                <w:szCs w:val="16"/>
              </w:rPr>
            </w:pPr>
            <w:r>
              <w:rPr>
                <w:rFonts w:hint="eastAsia" w:ascii="宋体" w:hAnsi="宋体" w:eastAsia="仿宋_GB2312" w:cs="Times New Roman"/>
                <w:b/>
                <w:bCs/>
                <w:color w:val="auto"/>
                <w:sz w:val="16"/>
                <w:szCs w:val="16"/>
              </w:rPr>
              <w:t>合</w:t>
            </w:r>
            <w:r>
              <w:rPr>
                <w:rFonts w:hint="eastAsia" w:ascii="宋体" w:hAnsi="宋体" w:eastAsia="仿宋_GB2312" w:cs="Times New Roman"/>
                <w:b/>
                <w:bCs/>
                <w:color w:val="auto"/>
                <w:sz w:val="16"/>
                <w:szCs w:val="16"/>
                <w:lang w:val="en-US" w:eastAsia="zh-CN"/>
              </w:rPr>
              <w:t xml:space="preserve"> </w:t>
            </w:r>
            <w:r>
              <w:rPr>
                <w:rFonts w:hint="eastAsia" w:ascii="宋体" w:hAnsi="宋体" w:eastAsia="仿宋_GB2312" w:cs="Times New Roman"/>
                <w:b/>
                <w:bCs/>
                <w:color w:val="auto"/>
                <w:sz w:val="16"/>
                <w:szCs w:val="16"/>
              </w:rPr>
              <w:t>计</w:t>
            </w:r>
          </w:p>
        </w:tc>
        <w:tc>
          <w:tcPr>
            <w:tcW w:w="1318" w:type="pct"/>
            <w:noWrap w:val="0"/>
            <w:vAlign w:val="center"/>
          </w:tcPr>
          <w:p>
            <w:pPr>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80,591,417,403.36</w:t>
            </w:r>
          </w:p>
        </w:tc>
        <w:tc>
          <w:tcPr>
            <w:tcW w:w="1577" w:type="pct"/>
            <w:noWrap w:val="0"/>
            <w:vAlign w:val="center"/>
          </w:tcPr>
          <w:p>
            <w:pPr>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73,070,252,741.16</w:t>
            </w:r>
          </w:p>
        </w:tc>
      </w:tr>
    </w:tbl>
    <w:tbl>
      <w:tblPr>
        <w:tblStyle w:val="8"/>
        <w:tblpPr w:leftFromText="180" w:rightFromText="180" w:vertAnchor="text" w:horzAnchor="page" w:tblpXSpec="center" w:tblpY="680"/>
        <w:tblOverlap w:val="never"/>
        <w:tblW w:w="4997"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0" w:type="dxa"/>
          <w:bottom w:w="0" w:type="dxa"/>
          <w:right w:w="108" w:type="dxa"/>
        </w:tblCellMar>
      </w:tblPr>
      <w:tblGrid>
        <w:gridCol w:w="3460"/>
        <w:gridCol w:w="2839"/>
        <w:gridCol w:w="264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tblHeader/>
          <w:jc w:val="center"/>
        </w:trPr>
        <w:tc>
          <w:tcPr>
            <w:tcW w:w="1933"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项目</w:t>
            </w:r>
          </w:p>
        </w:tc>
        <w:tc>
          <w:tcPr>
            <w:tcW w:w="1586"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年末</w:t>
            </w:r>
            <w:r>
              <w:rPr>
                <w:rFonts w:hint="eastAsia" w:ascii="宋体" w:hAnsi="宋体" w:eastAsia="仿宋_GB2312" w:cs="宋体"/>
                <w:b/>
                <w:color w:val="auto"/>
                <w:sz w:val="16"/>
                <w:szCs w:val="16"/>
              </w:rPr>
              <w:t>账面价值</w:t>
            </w:r>
          </w:p>
        </w:tc>
        <w:tc>
          <w:tcPr>
            <w:tcW w:w="1480" w:type="pct"/>
            <w:noWrap w:val="0"/>
            <w:vAlign w:val="center"/>
          </w:tcPr>
          <w:p>
            <w:pPr>
              <w:jc w:val="center"/>
              <w:rPr>
                <w:rFonts w:hint="eastAsia" w:ascii="宋体" w:hAnsi="宋体" w:eastAsia="仿宋_GB2312" w:cs="宋体"/>
                <w:b/>
                <w:color w:val="auto"/>
                <w:sz w:val="16"/>
                <w:szCs w:val="16"/>
              </w:rPr>
            </w:pPr>
            <w:r>
              <w:rPr>
                <w:rFonts w:hint="eastAsia" w:ascii="宋体" w:hAnsi="宋体" w:eastAsia="仿宋_GB2312" w:cs="宋体"/>
                <w:b/>
                <w:color w:val="auto"/>
                <w:sz w:val="16"/>
                <w:szCs w:val="16"/>
                <w:lang w:val="en-US" w:eastAsia="zh-CN"/>
              </w:rPr>
              <w:t>年初</w:t>
            </w:r>
            <w:r>
              <w:rPr>
                <w:rFonts w:hint="eastAsia" w:ascii="宋体" w:hAnsi="宋体" w:eastAsia="仿宋_GB2312" w:cs="宋体"/>
                <w:b/>
                <w:color w:val="auto"/>
                <w:sz w:val="16"/>
                <w:szCs w:val="16"/>
              </w:rPr>
              <w:t>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jc w:val="both"/>
              <w:rPr>
                <w:rFonts w:hint="eastAsia" w:ascii="宋体" w:hAnsi="宋体" w:eastAsia="仿宋_GB2312" w:cs="Times New Roman"/>
                <w:b w:val="0"/>
                <w:bCs w:val="0"/>
                <w:color w:val="auto"/>
                <w:sz w:val="16"/>
                <w:szCs w:val="16"/>
              </w:rPr>
            </w:pPr>
            <w:r>
              <w:rPr>
                <w:rFonts w:hint="eastAsia" w:ascii="宋体" w:hAnsi="宋体" w:eastAsia="仿宋_GB2312" w:cs="Times New Roman"/>
                <w:b w:val="0"/>
                <w:bCs w:val="0"/>
                <w:color w:val="auto"/>
                <w:sz w:val="16"/>
                <w:szCs w:val="16"/>
              </w:rPr>
              <w:t>基建工程支出</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18,313,809,859.40</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18,792,497,687.53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其中</w:t>
            </w:r>
            <w:r>
              <w:rPr>
                <w:rFonts w:hint="eastAsia" w:ascii="宋体" w:hAnsi="宋体" w:eastAsia="仿宋_GB2312" w:cs="Times New Roman"/>
                <w:color w:val="auto"/>
                <w:sz w:val="16"/>
                <w:szCs w:val="16"/>
                <w:lang w:eastAsia="zh-CN"/>
              </w:rPr>
              <w:t>：</w:t>
            </w:r>
            <w:r>
              <w:rPr>
                <w:rFonts w:hint="eastAsia" w:ascii="宋体" w:hAnsi="宋体" w:eastAsia="仿宋_GB2312" w:cs="Times New Roman"/>
                <w:color w:val="auto"/>
                <w:sz w:val="16"/>
                <w:szCs w:val="16"/>
              </w:rPr>
              <w:t>公用设施建设</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2,757,706,615.15</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1,864,049,258.07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码头堆场建设</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10,089,170,020.65</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9,263,901,706.43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仓储设施建设</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1,998,050,763.28</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1,527,273,347.52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集疏运体系</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1,004,914,092.18</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1,239,235,676.53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生产配套建设</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1,162,689,250.45</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2,036,270,925.47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保障配套建设</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296,451,668.03</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1,407,724,007.25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设备安装及改造</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102,431,036.11</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229,890,054.67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ind w:firstLine="480" w:firstLineChars="300"/>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其他</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902,396,413.55</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1,224,152,711.59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更新改造工程支出</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125,966,457.03</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114,141,537.04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在安装设备支出</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1,062,475,720.78</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847,724,257.04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待摊投资</w:t>
            </w:r>
          </w:p>
        </w:tc>
        <w:tc>
          <w:tcPr>
            <w:tcW w:w="1586"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2,761,850,008.66</w:t>
            </w:r>
          </w:p>
        </w:tc>
        <w:tc>
          <w:tcPr>
            <w:tcW w:w="1480" w:type="pct"/>
            <w:noWrap w:val="0"/>
            <w:vAlign w:val="center"/>
          </w:tcPr>
          <w:p>
            <w:pPr>
              <w:jc w:val="right"/>
              <w:rPr>
                <w:rFonts w:hint="eastAsia" w:ascii="宋体" w:hAnsi="宋体" w:eastAsia="宋体" w:cs="Times New Roman"/>
                <w:b w:val="0"/>
                <w:bCs w:val="0"/>
                <w:color w:val="auto"/>
                <w:sz w:val="16"/>
                <w:szCs w:val="16"/>
              </w:rPr>
            </w:pPr>
            <w:r>
              <w:rPr>
                <w:rFonts w:hint="eastAsia" w:ascii="宋体" w:hAnsi="宋体" w:eastAsia="宋体" w:cs="Times New Roman"/>
                <w:b w:val="0"/>
                <w:bCs w:val="0"/>
                <w:color w:val="auto"/>
                <w:sz w:val="16"/>
                <w:szCs w:val="16"/>
              </w:rPr>
              <w:t>4,309,446,931.05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97" w:hRule="atLeast"/>
          <w:jc w:val="center"/>
        </w:trPr>
        <w:tc>
          <w:tcPr>
            <w:tcW w:w="1933" w:type="pct"/>
            <w:noWrap w:val="0"/>
            <w:vAlign w:val="center"/>
          </w:tcPr>
          <w:p>
            <w:pPr>
              <w:jc w:val="center"/>
              <w:rPr>
                <w:rFonts w:hint="eastAsia" w:ascii="宋体" w:hAnsi="宋体" w:eastAsia="仿宋_GB2312" w:cs="Times New Roman"/>
                <w:b/>
                <w:bCs/>
                <w:color w:val="auto"/>
                <w:sz w:val="16"/>
                <w:szCs w:val="16"/>
              </w:rPr>
            </w:pPr>
            <w:r>
              <w:rPr>
                <w:rFonts w:hint="eastAsia" w:ascii="宋体" w:hAnsi="宋体" w:eastAsia="仿宋_GB2312" w:cs="Times New Roman"/>
                <w:b/>
                <w:bCs/>
                <w:color w:val="auto"/>
                <w:sz w:val="16"/>
                <w:szCs w:val="16"/>
              </w:rPr>
              <w:t>合</w:t>
            </w:r>
            <w:r>
              <w:rPr>
                <w:rFonts w:hint="eastAsia" w:ascii="宋体" w:hAnsi="宋体" w:eastAsia="仿宋_GB2312" w:cs="Times New Roman"/>
                <w:b/>
                <w:bCs/>
                <w:color w:val="auto"/>
                <w:sz w:val="16"/>
                <w:szCs w:val="16"/>
                <w:lang w:val="en-US" w:eastAsia="zh-CN"/>
              </w:rPr>
              <w:t xml:space="preserve"> </w:t>
            </w:r>
            <w:r>
              <w:rPr>
                <w:rFonts w:hint="eastAsia" w:ascii="宋体" w:hAnsi="宋体" w:eastAsia="仿宋_GB2312" w:cs="Times New Roman"/>
                <w:b/>
                <w:bCs/>
                <w:color w:val="auto"/>
                <w:sz w:val="16"/>
                <w:szCs w:val="16"/>
              </w:rPr>
              <w:t>计</w:t>
            </w:r>
          </w:p>
        </w:tc>
        <w:tc>
          <w:tcPr>
            <w:tcW w:w="1586" w:type="pct"/>
            <w:noWrap w:val="0"/>
            <w:vAlign w:val="center"/>
          </w:tcPr>
          <w:p>
            <w:pPr>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22,264,102,045.87</w:t>
            </w:r>
          </w:p>
        </w:tc>
        <w:tc>
          <w:tcPr>
            <w:tcW w:w="1480" w:type="pct"/>
            <w:noWrap w:val="0"/>
            <w:vAlign w:val="center"/>
          </w:tcPr>
          <w:p>
            <w:pPr>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24,063,810,412.66</w:t>
            </w:r>
          </w:p>
        </w:tc>
      </w:tr>
    </w:tbl>
    <w:tbl>
      <w:tblPr>
        <w:tblStyle w:val="8"/>
        <w:tblpPr w:leftFromText="180" w:rightFromText="180" w:vertAnchor="text" w:horzAnchor="page" w:tblpX="1575" w:tblpY="7412"/>
        <w:tblOverlap w:val="never"/>
        <w:tblW w:w="4941"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616"/>
        <w:gridCol w:w="2652"/>
        <w:gridCol w:w="2686"/>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019"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项目</w:t>
            </w:r>
          </w:p>
        </w:tc>
        <w:tc>
          <w:tcPr>
            <w:tcW w:w="1480"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年末账面价值</w:t>
            </w:r>
          </w:p>
        </w:tc>
        <w:tc>
          <w:tcPr>
            <w:tcW w:w="1499" w:type="pct"/>
            <w:noWrap w:val="0"/>
            <w:vAlign w:val="center"/>
          </w:tcPr>
          <w:p>
            <w:pPr>
              <w:jc w:val="center"/>
              <w:rPr>
                <w:rFonts w:hint="default"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软件</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207,129,407.09</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204,120,705.75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土地使用权</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18,327,839,498.49</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17,450,569,965.07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海域使用权</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1,567,012,318.98</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1,518,964,673.85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职工住宅使用权</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4,068,690.44</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4,326,429.20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采矿权</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12,081,454.59</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18,176,703.75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专利权</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11,963.71</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14,438.95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商标权</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11,275.00</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14,575.00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97" w:hRule="atLeast"/>
          <w:jc w:val="center"/>
        </w:trPr>
        <w:tc>
          <w:tcPr>
            <w:tcW w:w="20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其他</w:t>
            </w:r>
          </w:p>
        </w:tc>
        <w:tc>
          <w:tcPr>
            <w:tcW w:w="1480"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5,930,264.47</w:t>
            </w:r>
          </w:p>
        </w:tc>
        <w:tc>
          <w:tcPr>
            <w:tcW w:w="1499" w:type="pct"/>
            <w:noWrap w:val="0"/>
            <w:vAlign w:val="center"/>
          </w:tcPr>
          <w:p>
            <w:pPr>
              <w:jc w:val="right"/>
              <w:rPr>
                <w:rFonts w:hint="default" w:ascii="宋体" w:hAnsi="宋体" w:eastAsia="宋体" w:cs="Times New Roman"/>
                <w:b w:val="0"/>
                <w:bCs w:val="0"/>
                <w:color w:val="auto"/>
                <w:sz w:val="16"/>
                <w:szCs w:val="16"/>
              </w:rPr>
            </w:pPr>
            <w:r>
              <w:rPr>
                <w:rFonts w:hint="default" w:ascii="宋体" w:hAnsi="宋体" w:eastAsia="宋体" w:cs="Times New Roman"/>
                <w:b w:val="0"/>
                <w:bCs w:val="0"/>
                <w:color w:val="auto"/>
                <w:sz w:val="16"/>
                <w:szCs w:val="16"/>
              </w:rPr>
              <w:t>8,896,355.00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19" w:type="pct"/>
            <w:noWrap w:val="0"/>
            <w:vAlign w:val="center"/>
          </w:tcPr>
          <w:p>
            <w:pPr>
              <w:jc w:val="center"/>
              <w:rPr>
                <w:rFonts w:hint="default" w:ascii="宋体" w:hAnsi="宋体" w:eastAsia="仿宋_GB2312" w:cs="Times New Roman"/>
                <w:color w:val="auto"/>
                <w:sz w:val="16"/>
                <w:szCs w:val="16"/>
                <w:lang w:val="en-US" w:eastAsia="zh-CN"/>
              </w:rPr>
            </w:pPr>
            <w:r>
              <w:rPr>
                <w:rFonts w:hint="eastAsia" w:ascii="宋体" w:hAnsi="宋体" w:eastAsia="仿宋_GB2312" w:cs="Times New Roman"/>
                <w:b/>
                <w:bCs/>
                <w:color w:val="auto"/>
                <w:sz w:val="16"/>
                <w:szCs w:val="16"/>
                <w:lang w:val="en-US" w:eastAsia="zh-CN"/>
              </w:rPr>
              <w:t>合 计</w:t>
            </w:r>
          </w:p>
        </w:tc>
        <w:tc>
          <w:tcPr>
            <w:tcW w:w="1480" w:type="pct"/>
            <w:noWrap w:val="0"/>
            <w:vAlign w:val="center"/>
          </w:tcPr>
          <w:p>
            <w:pPr>
              <w:jc w:val="right"/>
              <w:rPr>
                <w:rFonts w:hint="default" w:ascii="宋体" w:hAnsi="宋体" w:eastAsia="宋体" w:cs="Times New Roman"/>
                <w:b/>
                <w:bCs/>
                <w:color w:val="auto"/>
                <w:sz w:val="16"/>
                <w:szCs w:val="16"/>
              </w:rPr>
            </w:pPr>
            <w:r>
              <w:rPr>
                <w:rFonts w:hint="default" w:ascii="宋体" w:hAnsi="宋体" w:eastAsia="宋体" w:cs="Times New Roman"/>
                <w:b/>
                <w:bCs/>
                <w:color w:val="auto"/>
                <w:sz w:val="16"/>
                <w:szCs w:val="16"/>
              </w:rPr>
              <w:t>20,124,084,872.77</w:t>
            </w:r>
          </w:p>
        </w:tc>
        <w:tc>
          <w:tcPr>
            <w:tcW w:w="1499" w:type="pct"/>
            <w:noWrap w:val="0"/>
            <w:vAlign w:val="center"/>
          </w:tcPr>
          <w:p>
            <w:pPr>
              <w:jc w:val="right"/>
              <w:rPr>
                <w:rFonts w:hint="default" w:ascii="宋体" w:hAnsi="宋体" w:eastAsia="宋体" w:cs="Times New Roman"/>
                <w:b/>
                <w:bCs/>
                <w:color w:val="auto"/>
                <w:sz w:val="16"/>
                <w:szCs w:val="16"/>
              </w:rPr>
            </w:pPr>
            <w:r>
              <w:rPr>
                <w:rFonts w:hint="default" w:ascii="宋体" w:hAnsi="宋体" w:eastAsia="宋体" w:cs="Times New Roman"/>
                <w:b/>
                <w:bCs/>
                <w:color w:val="auto"/>
                <w:sz w:val="16"/>
                <w:szCs w:val="16"/>
              </w:rPr>
              <w:t>19,205,083,846.57</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highlight w:val="none"/>
          <w:lang w:val="en-US" w:eastAsia="zh-CN"/>
        </w:rPr>
      </w:pPr>
      <w:r>
        <w:rPr>
          <w:rFonts w:hint="eastAsia" w:ascii="宋体" w:hAnsi="宋体" w:eastAsia="仿宋_GB2312" w:cs="仿宋_GB2312"/>
          <w:b w:val="0"/>
          <w:bCs w:val="0"/>
          <w:color w:val="auto"/>
          <w:sz w:val="32"/>
          <w:szCs w:val="32"/>
          <w:highlight w:val="none"/>
          <w:lang w:val="en-US" w:eastAsia="zh-CN"/>
        </w:rPr>
        <w:t>在建工程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105" w:rightChars="-50" w:firstLine="320" w:firstLineChars="200"/>
        <w:textAlignment w:val="auto"/>
        <w:rPr>
          <w:rFonts w:hint="eastAsia" w:ascii="宋体" w:hAnsi="宋体" w:eastAsia="仿宋_GB2312" w:cs="仿宋_GB2312"/>
          <w:b w:val="0"/>
          <w:bCs w:val="0"/>
          <w:color w:val="auto"/>
          <w:sz w:val="32"/>
          <w:szCs w:val="32"/>
          <w:lang w:val="en-US" w:eastAsia="zh-CN"/>
        </w:rPr>
      </w:pPr>
      <w:r>
        <w:rPr>
          <w:sz w:val="16"/>
        </w:rPr>
        <mc:AlternateContent>
          <mc:Choice Requires="wps">
            <w:drawing>
              <wp:anchor distT="0" distB="0" distL="114300" distR="114300" simplePos="0" relativeHeight="251665408" behindDoc="0" locked="0" layoutInCell="1" allowOverlap="1">
                <wp:simplePos x="0" y="0"/>
                <wp:positionH relativeFrom="column">
                  <wp:posOffset>351790</wp:posOffset>
                </wp:positionH>
                <wp:positionV relativeFrom="paragraph">
                  <wp:posOffset>3865880</wp:posOffset>
                </wp:positionV>
                <wp:extent cx="2019300" cy="428625"/>
                <wp:effectExtent l="0" t="0" r="0" b="9525"/>
                <wp:wrapNone/>
                <wp:docPr id="1" name="文本框 1"/>
                <wp:cNvGraphicFramePr/>
                <a:graphic xmlns:a="http://schemas.openxmlformats.org/drawingml/2006/main">
                  <a:graphicData uri="http://schemas.microsoft.com/office/word/2010/wordprocessingShape">
                    <wps:wsp>
                      <wps:cNvSpPr txBox="1"/>
                      <wps:spPr>
                        <a:xfrm>
                          <a:off x="3169285" y="5123815"/>
                          <a:ext cx="201930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仿宋_GB2312" w:cs="仿宋_GB2312"/>
                                <w:b w:val="0"/>
                                <w:bCs w:val="0"/>
                                <w:color w:val="auto"/>
                                <w:sz w:val="32"/>
                                <w:szCs w:val="32"/>
                                <w:lang w:val="en-US" w:eastAsia="zh-CN"/>
                              </w:rPr>
                              <w:t>（5）无形资产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pt;margin-top:304.4pt;height:33.75pt;width:159pt;z-index:251665408;mso-width-relative:page;mso-height-relative:page;" fillcolor="#FFFFFF [3201]" filled="t" stroked="f" coordsize="21600,21600" o:gfxdata="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rX5u/V&#10;AAAACgEAAA8AAAAAAAAAAQAgAAAAIgAAAGRycy9kb3ducmV2LnhtbFBLAQIUABQAAAAIAIdO4kAY&#10;Uj0MXAIAAJsEAAAOAAAAAAAAAAEAIAAAACQBAABkcnMvZTJvRG9jLnhtbFBLBQYAAAAABgAGAFkB&#10;AADyBQAAAAA=&#10;">
                <v:fill on="t" focussize="0,0"/>
                <v:stroke on="f" weight="0.5pt"/>
                <v:imagedata o:title=""/>
                <o:lock v:ext="edit" aspectratio="f"/>
                <v:textbox>
                  <w:txbxContent>
                    <w:p>
                      <w:r>
                        <w:rPr>
                          <w:rFonts w:hint="eastAsia" w:ascii="宋体" w:hAnsi="宋体" w:eastAsia="仿宋_GB2312" w:cs="仿宋_GB2312"/>
                          <w:b w:val="0"/>
                          <w:bCs w:val="0"/>
                          <w:color w:val="auto"/>
                          <w:sz w:val="32"/>
                          <w:szCs w:val="32"/>
                          <w:lang w:val="en-US" w:eastAsia="zh-CN"/>
                        </w:rPr>
                        <w:t>（5）无形资产</w:t>
                      </w:r>
                    </w:p>
                  </w:txbxContent>
                </v:textbox>
              </v:shape>
            </w:pict>
          </mc:Fallback>
        </mc:AlternateContent>
      </w:r>
    </w:p>
    <w:p>
      <w:pPr>
        <w:rPr>
          <w:rFonts w:hint="eastAsia"/>
          <w:lang w:val="en-US" w:eastAsia="zh-CN"/>
        </w:rPr>
        <w:sectPr>
          <w:footerReference r:id="rId5" w:type="default"/>
          <w:pgSz w:w="11906" w:h="16838"/>
          <w:pgMar w:top="2098" w:right="1474" w:bottom="1984" w:left="1587" w:header="851" w:footer="992"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105" w:rightChars="-50" w:firstLine="640" w:firstLineChars="200"/>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（6）短期借款</w:t>
      </w:r>
    </w:p>
    <w:tbl>
      <w:tblPr>
        <w:tblStyle w:val="8"/>
        <w:tblW w:w="4999" w:type="pct"/>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13" w:type="dxa"/>
          <w:bottom w:w="0" w:type="dxa"/>
          <w:right w:w="113" w:type="dxa"/>
        </w:tblCellMar>
      </w:tblPr>
      <w:tblGrid>
        <w:gridCol w:w="3269"/>
        <w:gridCol w:w="2659"/>
        <w:gridCol w:w="2602"/>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blHeader/>
        </w:trPr>
        <w:tc>
          <w:tcPr>
            <w:tcW w:w="1916"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借款类别</w:t>
            </w:r>
          </w:p>
        </w:tc>
        <w:tc>
          <w:tcPr>
            <w:tcW w:w="1558"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年末余额</w:t>
            </w:r>
          </w:p>
        </w:tc>
        <w:tc>
          <w:tcPr>
            <w:tcW w:w="1525"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91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质押借款</w:t>
            </w:r>
          </w:p>
        </w:tc>
        <w:tc>
          <w:tcPr>
            <w:tcW w:w="155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35,040,638.89</w:t>
            </w:r>
          </w:p>
        </w:tc>
        <w:tc>
          <w:tcPr>
            <w:tcW w:w="1525"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1,285,979,051.89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91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抵押借款</w:t>
            </w:r>
          </w:p>
        </w:tc>
        <w:tc>
          <w:tcPr>
            <w:tcW w:w="1558" w:type="pct"/>
            <w:noWrap w:val="0"/>
            <w:vAlign w:val="center"/>
          </w:tcPr>
          <w:p>
            <w:pPr>
              <w:spacing w:line="240" w:lineRule="auto"/>
              <w:jc w:val="right"/>
              <w:rPr>
                <w:rFonts w:hint="default" w:ascii="宋体" w:hAnsi="宋体" w:cs="Times New Roman"/>
                <w:color w:val="auto"/>
                <w:sz w:val="16"/>
                <w:szCs w:val="16"/>
              </w:rPr>
            </w:pPr>
          </w:p>
        </w:tc>
        <w:tc>
          <w:tcPr>
            <w:tcW w:w="1525" w:type="pct"/>
            <w:noWrap w:val="0"/>
            <w:vAlign w:val="center"/>
          </w:tcPr>
          <w:p>
            <w:pPr>
              <w:spacing w:line="240" w:lineRule="auto"/>
              <w:jc w:val="right"/>
              <w:rPr>
                <w:rFonts w:hint="default" w:ascii="宋体" w:hAnsi="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91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保证借款</w:t>
            </w:r>
          </w:p>
        </w:tc>
        <w:tc>
          <w:tcPr>
            <w:tcW w:w="155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854,349,196.20</w:t>
            </w:r>
          </w:p>
        </w:tc>
        <w:tc>
          <w:tcPr>
            <w:tcW w:w="1525"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1,499,116,111.10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91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信用借款</w:t>
            </w:r>
          </w:p>
        </w:tc>
        <w:tc>
          <w:tcPr>
            <w:tcW w:w="155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14,297,985,315.40</w:t>
            </w:r>
          </w:p>
        </w:tc>
        <w:tc>
          <w:tcPr>
            <w:tcW w:w="1525"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10,570,085,070.12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916" w:type="pct"/>
            <w:noWrap w:val="0"/>
            <w:vAlign w:val="center"/>
          </w:tcPr>
          <w:p>
            <w:pPr>
              <w:spacing w:line="240" w:lineRule="auto"/>
              <w:jc w:val="center"/>
              <w:rPr>
                <w:rFonts w:hint="eastAsia" w:ascii="宋体" w:hAnsi="宋体"/>
                <w:b/>
                <w:color w:val="auto"/>
                <w:sz w:val="16"/>
                <w:szCs w:val="16"/>
              </w:rPr>
            </w:pPr>
            <w:r>
              <w:rPr>
                <w:rFonts w:hint="eastAsia" w:ascii="宋体" w:hAnsi="宋体" w:eastAsia="仿宋_GB2312" w:cs="Times New Roman"/>
                <w:b/>
                <w:bCs/>
                <w:color w:val="auto"/>
                <w:sz w:val="16"/>
                <w:szCs w:val="16"/>
                <w:lang w:val="en-US" w:eastAsia="zh-CN"/>
              </w:rPr>
              <w:t>合  计</w:t>
            </w:r>
          </w:p>
        </w:tc>
        <w:tc>
          <w:tcPr>
            <w:tcW w:w="1558" w:type="pct"/>
            <w:noWrap w:val="0"/>
            <w:vAlign w:val="center"/>
          </w:tcPr>
          <w:p>
            <w:pPr>
              <w:spacing w:line="240" w:lineRule="auto"/>
              <w:jc w:val="right"/>
              <w:rPr>
                <w:rFonts w:hint="default" w:ascii="宋体" w:hAnsi="宋体" w:cs="Times New Roman"/>
                <w:b/>
                <w:color w:val="auto"/>
                <w:sz w:val="16"/>
                <w:szCs w:val="16"/>
              </w:rPr>
            </w:pPr>
            <w:r>
              <w:rPr>
                <w:rFonts w:hint="default" w:ascii="宋体" w:hAnsi="宋体" w:cs="Times New Roman"/>
                <w:b/>
                <w:color w:val="auto"/>
                <w:sz w:val="16"/>
                <w:szCs w:val="16"/>
              </w:rPr>
              <w:t>15,187,375,150.49</w:t>
            </w:r>
          </w:p>
        </w:tc>
        <w:tc>
          <w:tcPr>
            <w:tcW w:w="1525" w:type="pct"/>
            <w:noWrap w:val="0"/>
            <w:vAlign w:val="center"/>
          </w:tcPr>
          <w:p>
            <w:pPr>
              <w:spacing w:line="240" w:lineRule="auto"/>
              <w:jc w:val="right"/>
              <w:rPr>
                <w:rFonts w:hint="default" w:ascii="宋体" w:hAnsi="宋体" w:cs="Times New Roman"/>
                <w:b/>
                <w:color w:val="auto"/>
                <w:sz w:val="16"/>
                <w:szCs w:val="16"/>
              </w:rPr>
            </w:pPr>
            <w:r>
              <w:rPr>
                <w:rFonts w:hint="default" w:ascii="宋体" w:hAnsi="宋体" w:cs="Times New Roman"/>
                <w:b/>
                <w:color w:val="auto"/>
                <w:sz w:val="16"/>
                <w:szCs w:val="16"/>
              </w:rPr>
              <w:t>13,355,180,233.11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（7）应付账款</w:t>
      </w:r>
    </w:p>
    <w:tbl>
      <w:tblPr>
        <w:tblStyle w:val="8"/>
        <w:tblW w:w="4999"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2652"/>
        <w:gridCol w:w="259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19"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账龄</w:t>
            </w:r>
          </w:p>
        </w:tc>
        <w:tc>
          <w:tcPr>
            <w:tcW w:w="1556"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年末余额</w:t>
            </w:r>
          </w:p>
        </w:tc>
        <w:tc>
          <w:tcPr>
            <w:tcW w:w="1523"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年初余额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1年以内（含1年）</w:t>
            </w:r>
          </w:p>
        </w:tc>
        <w:tc>
          <w:tcPr>
            <w:tcW w:w="1556"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8,710,157,946.12</w:t>
            </w:r>
          </w:p>
        </w:tc>
        <w:tc>
          <w:tcPr>
            <w:tcW w:w="1523"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5,391,098,101.14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1-2年</w:t>
            </w:r>
          </w:p>
        </w:tc>
        <w:tc>
          <w:tcPr>
            <w:tcW w:w="1556"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2,113,855,053.10</w:t>
            </w:r>
          </w:p>
        </w:tc>
        <w:tc>
          <w:tcPr>
            <w:tcW w:w="1523"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1,928,324,527.43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2-3年</w:t>
            </w:r>
          </w:p>
        </w:tc>
        <w:tc>
          <w:tcPr>
            <w:tcW w:w="1556"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642,300,762.15</w:t>
            </w:r>
          </w:p>
        </w:tc>
        <w:tc>
          <w:tcPr>
            <w:tcW w:w="1523"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894,821,145.79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1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3年以上</w:t>
            </w:r>
          </w:p>
        </w:tc>
        <w:tc>
          <w:tcPr>
            <w:tcW w:w="1556"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688,163,349.62</w:t>
            </w:r>
          </w:p>
        </w:tc>
        <w:tc>
          <w:tcPr>
            <w:tcW w:w="1523"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629,965,225.07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19" w:type="pct"/>
            <w:noWrap w:val="0"/>
            <w:vAlign w:val="center"/>
          </w:tcPr>
          <w:p>
            <w:pPr>
              <w:jc w:val="center"/>
              <w:rPr>
                <w:rFonts w:hint="eastAsia" w:ascii="宋体" w:hAnsi="宋体" w:eastAsia="仿宋_GB2312" w:cs="Times New Roman"/>
                <w:color w:val="auto"/>
                <w:sz w:val="16"/>
                <w:szCs w:val="16"/>
              </w:rPr>
            </w:pPr>
            <w:r>
              <w:rPr>
                <w:rFonts w:hint="eastAsia" w:ascii="宋体" w:hAnsi="宋体" w:eastAsia="仿宋_GB2312" w:cs="Times New Roman"/>
                <w:b/>
                <w:bCs/>
                <w:color w:val="auto"/>
                <w:sz w:val="16"/>
                <w:szCs w:val="16"/>
                <w:lang w:val="en-US" w:eastAsia="zh-CN"/>
              </w:rPr>
              <w:t>合  计</w:t>
            </w:r>
          </w:p>
        </w:tc>
        <w:tc>
          <w:tcPr>
            <w:tcW w:w="1556" w:type="pct"/>
            <w:noWrap w:val="0"/>
            <w:vAlign w:val="center"/>
          </w:tcPr>
          <w:p>
            <w:pPr>
              <w:spacing w:line="240" w:lineRule="auto"/>
              <w:jc w:val="right"/>
              <w:rPr>
                <w:rFonts w:hint="default" w:ascii="宋体" w:hAnsi="宋体" w:cs="Times New Roman"/>
                <w:b/>
                <w:color w:val="auto"/>
                <w:sz w:val="16"/>
                <w:szCs w:val="16"/>
              </w:rPr>
            </w:pPr>
            <w:r>
              <w:rPr>
                <w:rFonts w:hint="default" w:ascii="宋体" w:hAnsi="宋体" w:cs="Times New Roman"/>
                <w:b/>
                <w:color w:val="auto"/>
                <w:sz w:val="16"/>
                <w:szCs w:val="16"/>
              </w:rPr>
              <w:t>12,154,477,110.99</w:t>
            </w:r>
          </w:p>
        </w:tc>
        <w:tc>
          <w:tcPr>
            <w:tcW w:w="1523" w:type="pct"/>
            <w:noWrap w:val="0"/>
            <w:vAlign w:val="center"/>
          </w:tcPr>
          <w:p>
            <w:pPr>
              <w:spacing w:line="240" w:lineRule="auto"/>
              <w:jc w:val="right"/>
              <w:rPr>
                <w:rFonts w:hint="default" w:ascii="宋体" w:hAnsi="宋体" w:cs="Times New Roman"/>
                <w:b/>
                <w:color w:val="auto"/>
                <w:sz w:val="16"/>
                <w:szCs w:val="16"/>
              </w:rPr>
            </w:pPr>
            <w:r>
              <w:rPr>
                <w:rFonts w:hint="default" w:ascii="宋体" w:hAnsi="宋体" w:cs="Times New Roman"/>
                <w:b/>
                <w:color w:val="auto"/>
                <w:sz w:val="16"/>
                <w:szCs w:val="16"/>
              </w:rPr>
              <w:t>8,844,208,999.43</w:t>
            </w:r>
          </w:p>
        </w:tc>
      </w:tr>
    </w:tbl>
    <w:p>
      <w:pPr>
        <w:ind w:firstLine="640" w:firstLineChars="200"/>
        <w:jc w:val="left"/>
        <w:rPr>
          <w:rFonts w:hint="default" w:ascii="宋体" w:hAnsi="宋体" w:eastAsia="仿宋_GB2312" w:cs="宋体"/>
          <w:b/>
          <w:color w:val="auto"/>
          <w:sz w:val="24"/>
          <w:szCs w:val="24"/>
          <w:lang w:val="en-US" w:eastAsia="zh-CN"/>
        </w:rPr>
      </w:pPr>
      <w:r>
        <w:rPr>
          <w:rFonts w:hint="eastAsia" w:ascii="宋体" w:hAnsi="宋体" w:eastAsia="仿宋_GB2312" w:cs="仿宋_GB2312"/>
          <w:b w:val="0"/>
          <w:bCs w:val="0"/>
          <w:color w:val="auto"/>
          <w:sz w:val="32"/>
          <w:szCs w:val="32"/>
          <w:lang w:val="en-US" w:eastAsia="zh-CN"/>
        </w:rPr>
        <w:t>（8）长期借款</w:t>
      </w:r>
    </w:p>
    <w:tbl>
      <w:tblPr>
        <w:tblStyle w:val="8"/>
        <w:tblW w:w="5000" w:type="pct"/>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13" w:type="dxa"/>
          <w:bottom w:w="0" w:type="dxa"/>
          <w:right w:w="113" w:type="dxa"/>
        </w:tblCellMar>
      </w:tblPr>
      <w:tblGrid>
        <w:gridCol w:w="2571"/>
        <w:gridCol w:w="2398"/>
        <w:gridCol w:w="2356"/>
        <w:gridCol w:w="1207"/>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blHeader/>
        </w:trPr>
        <w:tc>
          <w:tcPr>
            <w:tcW w:w="1506"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借款类别</w:t>
            </w:r>
          </w:p>
        </w:tc>
        <w:tc>
          <w:tcPr>
            <w:tcW w:w="1405"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年末余额</w:t>
            </w:r>
          </w:p>
        </w:tc>
        <w:tc>
          <w:tcPr>
            <w:tcW w:w="1380"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年初余额</w:t>
            </w:r>
          </w:p>
        </w:tc>
        <w:tc>
          <w:tcPr>
            <w:tcW w:w="707"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年末利率区间（%）</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质押借款</w:t>
            </w:r>
          </w:p>
        </w:tc>
        <w:tc>
          <w:tcPr>
            <w:tcW w:w="1405"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347,519,000.00</w:t>
            </w:r>
          </w:p>
        </w:tc>
        <w:tc>
          <w:tcPr>
            <w:tcW w:w="1380" w:type="pct"/>
            <w:noWrap w:val="0"/>
            <w:vAlign w:val="center"/>
          </w:tcPr>
          <w:p>
            <w:pPr>
              <w:spacing w:line="240" w:lineRule="auto"/>
              <w:jc w:val="right"/>
              <w:rPr>
                <w:rFonts w:hint="default" w:ascii="宋体" w:hAnsi="宋体" w:eastAsia="宋体" w:cs="Times New Roman"/>
                <w:color w:val="auto"/>
                <w:sz w:val="16"/>
                <w:szCs w:val="16"/>
              </w:rPr>
            </w:pPr>
          </w:p>
        </w:tc>
        <w:tc>
          <w:tcPr>
            <w:tcW w:w="707" w:type="pct"/>
            <w:noWrap w:val="0"/>
            <w:vAlign w:val="center"/>
          </w:tcPr>
          <w:p>
            <w:pPr>
              <w:spacing w:line="240" w:lineRule="auto"/>
              <w:jc w:val="right"/>
              <w:rPr>
                <w:rFonts w:hint="default"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抵押借款</w:t>
            </w:r>
          </w:p>
        </w:tc>
        <w:tc>
          <w:tcPr>
            <w:tcW w:w="1405"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 xml:space="preserve">3,467,341,326.62 </w:t>
            </w:r>
          </w:p>
        </w:tc>
        <w:tc>
          <w:tcPr>
            <w:tcW w:w="1380"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4,841,027,712.65</w:t>
            </w:r>
          </w:p>
        </w:tc>
        <w:tc>
          <w:tcPr>
            <w:tcW w:w="707"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3.95-4.90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保证借款</w:t>
            </w:r>
          </w:p>
        </w:tc>
        <w:tc>
          <w:tcPr>
            <w:tcW w:w="1405"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 xml:space="preserve">5,409,036,485.40 </w:t>
            </w:r>
          </w:p>
        </w:tc>
        <w:tc>
          <w:tcPr>
            <w:tcW w:w="1380"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4,642,504,672.51</w:t>
            </w:r>
          </w:p>
        </w:tc>
        <w:tc>
          <w:tcPr>
            <w:tcW w:w="707"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0.80-6.50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信用借款</w:t>
            </w:r>
          </w:p>
        </w:tc>
        <w:tc>
          <w:tcPr>
            <w:tcW w:w="1405"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20,103,563,539.30</w:t>
            </w:r>
          </w:p>
        </w:tc>
        <w:tc>
          <w:tcPr>
            <w:tcW w:w="1380"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19,617,184,598.01</w:t>
            </w:r>
          </w:p>
        </w:tc>
        <w:tc>
          <w:tcPr>
            <w:tcW w:w="707" w:type="pct"/>
            <w:noWrap w:val="0"/>
            <w:vAlign w:val="center"/>
          </w:tcPr>
          <w:p>
            <w:pPr>
              <w:spacing w:line="240" w:lineRule="auto"/>
              <w:jc w:val="right"/>
              <w:rPr>
                <w:rFonts w:hint="default" w:ascii="宋体" w:hAnsi="宋体" w:eastAsia="宋体" w:cs="Times New Roman"/>
                <w:color w:val="auto"/>
                <w:sz w:val="16"/>
                <w:szCs w:val="16"/>
              </w:rPr>
            </w:pPr>
            <w:r>
              <w:rPr>
                <w:rFonts w:hint="default" w:ascii="宋体" w:hAnsi="宋体" w:eastAsia="宋体" w:cs="Times New Roman"/>
                <w:color w:val="auto"/>
                <w:sz w:val="16"/>
                <w:szCs w:val="16"/>
              </w:rPr>
              <w:t>3.40-4.90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97" w:hRule="atLeast"/>
        </w:trPr>
        <w:tc>
          <w:tcPr>
            <w:tcW w:w="1506" w:type="pct"/>
            <w:noWrap w:val="0"/>
            <w:vAlign w:val="center"/>
          </w:tcPr>
          <w:p>
            <w:pPr>
              <w:jc w:val="center"/>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bCs/>
                <w:color w:val="auto"/>
                <w:sz w:val="16"/>
                <w:szCs w:val="16"/>
                <w:lang w:val="en-US" w:eastAsia="zh-CN"/>
              </w:rPr>
              <w:t>合  计</w:t>
            </w:r>
          </w:p>
        </w:tc>
        <w:tc>
          <w:tcPr>
            <w:tcW w:w="1405" w:type="pct"/>
            <w:noWrap w:val="0"/>
            <w:vAlign w:val="center"/>
          </w:tcPr>
          <w:p>
            <w:pPr>
              <w:spacing w:line="240" w:lineRule="auto"/>
              <w:jc w:val="right"/>
              <w:rPr>
                <w:rFonts w:hint="default" w:ascii="宋体" w:hAnsi="宋体" w:eastAsia="宋体" w:cs="Times New Roman"/>
                <w:b/>
                <w:bCs/>
                <w:color w:val="auto"/>
                <w:sz w:val="16"/>
                <w:szCs w:val="16"/>
              </w:rPr>
            </w:pPr>
            <w:r>
              <w:rPr>
                <w:rFonts w:hint="default" w:ascii="宋体" w:hAnsi="宋体" w:eastAsia="宋体" w:cs="Times New Roman"/>
                <w:b/>
                <w:bCs/>
                <w:color w:val="auto"/>
                <w:sz w:val="16"/>
                <w:szCs w:val="16"/>
              </w:rPr>
              <w:t>29,327,460,351.32</w:t>
            </w:r>
          </w:p>
        </w:tc>
        <w:tc>
          <w:tcPr>
            <w:tcW w:w="1380" w:type="pct"/>
            <w:noWrap w:val="0"/>
            <w:vAlign w:val="center"/>
          </w:tcPr>
          <w:p>
            <w:pPr>
              <w:spacing w:line="240" w:lineRule="auto"/>
              <w:jc w:val="right"/>
              <w:rPr>
                <w:rFonts w:hint="default" w:ascii="宋体" w:hAnsi="宋体" w:eastAsia="宋体" w:cs="Times New Roman"/>
                <w:b/>
                <w:bCs/>
                <w:color w:val="auto"/>
                <w:sz w:val="16"/>
                <w:szCs w:val="16"/>
              </w:rPr>
            </w:pPr>
            <w:r>
              <w:rPr>
                <w:rFonts w:hint="default" w:ascii="宋体" w:hAnsi="宋体" w:eastAsia="宋体" w:cs="Times New Roman"/>
                <w:b/>
                <w:bCs/>
                <w:color w:val="auto"/>
                <w:sz w:val="16"/>
                <w:szCs w:val="16"/>
              </w:rPr>
              <w:t>29,100,716,983.17</w:t>
            </w:r>
          </w:p>
        </w:tc>
        <w:tc>
          <w:tcPr>
            <w:tcW w:w="707" w:type="pct"/>
            <w:noWrap w:val="0"/>
            <w:vAlign w:val="center"/>
          </w:tcPr>
          <w:p>
            <w:pPr>
              <w:spacing w:line="240" w:lineRule="auto"/>
              <w:jc w:val="right"/>
              <w:outlineLvl w:val="0"/>
              <w:rPr>
                <w:rFonts w:hint="eastAsia" w:ascii="宋体" w:hAnsi="宋体" w:cs="宋体"/>
                <w:b/>
                <w:color w:val="auto"/>
                <w:sz w:val="16"/>
                <w:szCs w:val="16"/>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（9）应付债券</w:t>
      </w:r>
    </w:p>
    <w:tbl>
      <w:tblPr>
        <w:tblStyle w:val="8"/>
        <w:tblW w:w="5128"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0" w:type="dxa"/>
          <w:bottom w:w="0" w:type="dxa"/>
          <w:right w:w="57" w:type="dxa"/>
        </w:tblCellMar>
      </w:tblPr>
      <w:tblGrid>
        <w:gridCol w:w="4820"/>
        <w:gridCol w:w="1918"/>
        <w:gridCol w:w="183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tblHeader/>
          <w:jc w:val="center"/>
        </w:trPr>
        <w:tc>
          <w:tcPr>
            <w:tcW w:w="2809"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项目</w:t>
            </w:r>
          </w:p>
        </w:tc>
        <w:tc>
          <w:tcPr>
            <w:tcW w:w="1118"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年末余额</w:t>
            </w:r>
          </w:p>
        </w:tc>
        <w:tc>
          <w:tcPr>
            <w:tcW w:w="1072" w:type="pct"/>
            <w:noWrap w:val="0"/>
            <w:vAlign w:val="center"/>
          </w:tcPr>
          <w:p>
            <w:pPr>
              <w:jc w:val="center"/>
              <w:rPr>
                <w:rFonts w:hint="eastAsia" w:ascii="宋体" w:hAnsi="宋体" w:eastAsia="仿宋_GB2312" w:cs="宋体"/>
                <w:b/>
                <w:color w:val="auto"/>
                <w:sz w:val="16"/>
                <w:szCs w:val="16"/>
                <w:lang w:val="en-US" w:eastAsia="zh-CN"/>
              </w:rPr>
            </w:pPr>
            <w:r>
              <w:rPr>
                <w:rFonts w:hint="eastAsia" w:ascii="宋体" w:hAnsi="宋体" w:eastAsia="仿宋_GB2312" w:cs="宋体"/>
                <w:b/>
                <w:color w:val="auto"/>
                <w:sz w:val="16"/>
                <w:szCs w:val="16"/>
                <w:lang w:val="en-US" w:eastAsia="zh-CN"/>
              </w:rPr>
              <w:t>年初余额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青岛港（集团）公司债券</w:t>
            </w:r>
          </w:p>
        </w:tc>
        <w:tc>
          <w:tcPr>
            <w:tcW w:w="1118" w:type="pct"/>
            <w:noWrap w:val="0"/>
            <w:vAlign w:val="center"/>
          </w:tcPr>
          <w:p>
            <w:pPr>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3,000,000,000.00</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3,000,000,000.00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日照港集团有限公司2018年第二期中期票据</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1,978,053,110.74</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2,074,026,444.18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日照港集团有限公司2019年第一期非公开公司债</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1,030,550,000.04</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1,030,550,000.04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日照港集团有限公司2019年第二期非公开公司债</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1,019,383,333.40</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1,017,550,000.03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日照港集团有限公司2019年度第一期中期票据</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1,927,549,887.46</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1,925,716,422.09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日照港集团有限公司2020年度第一期定向债务融资工具</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614,670,223.36</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615,936,890.00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日照港集团有限公司2020年度第二期定向债务融资工具</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1,027,704,205.00</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1,026,686,890.00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日照港集团有限公司2020年度第三期定向债务融资工具</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1,020,795,877.12</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1,019,011,890.00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山东港口日照港集团有限公司2021年第一期私募债券</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410,367,395.44</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山东港口日照港集团有限公司2021年第二期私募债券</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509,074,998.00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山东港口日照港集团有限公司2021年第三期私募债券</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507,155,835.00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山东港口日照港集团有限公司2021年第一期中期票据</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1,011,408,932.00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2021年第一期优质企业债资金</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1,002,111,945.00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17日照01</w:t>
            </w:r>
          </w:p>
        </w:tc>
        <w:tc>
          <w:tcPr>
            <w:tcW w:w="1118" w:type="pct"/>
            <w:noWrap w:val="0"/>
            <w:vAlign w:val="center"/>
          </w:tcPr>
          <w:p>
            <w:pPr>
              <w:spacing w:line="240" w:lineRule="auto"/>
              <w:jc w:val="right"/>
              <w:rPr>
                <w:rFonts w:hint="eastAsia" w:ascii="宋体" w:hAnsi="宋体" w:eastAsia="宋体" w:cs="Times New Roman"/>
                <w:color w:val="auto"/>
                <w:sz w:val="16"/>
                <w:szCs w:val="16"/>
              </w:rPr>
            </w:pP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597,427,448.23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18日照01</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534,830,883.72</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598,003,811.56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18烟台港MTN001</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517,190,000.00</w:t>
            </w: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516,505,000.00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19烟台港MTN001</w:t>
            </w:r>
          </w:p>
        </w:tc>
        <w:tc>
          <w:tcPr>
            <w:tcW w:w="1118" w:type="pct"/>
            <w:noWrap w:val="0"/>
            <w:vAlign w:val="center"/>
          </w:tcPr>
          <w:p>
            <w:pPr>
              <w:spacing w:line="240" w:lineRule="auto"/>
              <w:jc w:val="right"/>
              <w:rPr>
                <w:rFonts w:hint="eastAsia" w:ascii="宋体" w:hAnsi="宋体" w:eastAsia="宋体" w:cs="Times New Roman"/>
                <w:color w:val="auto"/>
                <w:sz w:val="16"/>
                <w:szCs w:val="16"/>
              </w:rPr>
            </w:pP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520,465,000.00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19烟台港MTN002</w:t>
            </w:r>
          </w:p>
        </w:tc>
        <w:tc>
          <w:tcPr>
            <w:tcW w:w="1118" w:type="pct"/>
            <w:noWrap w:val="0"/>
            <w:vAlign w:val="center"/>
          </w:tcPr>
          <w:p>
            <w:pPr>
              <w:spacing w:line="240" w:lineRule="auto"/>
              <w:jc w:val="right"/>
              <w:rPr>
                <w:rFonts w:hint="eastAsia" w:ascii="宋体" w:hAnsi="宋体" w:eastAsia="宋体" w:cs="Times New Roman"/>
                <w:color w:val="auto"/>
                <w:sz w:val="16"/>
                <w:szCs w:val="16"/>
              </w:rPr>
            </w:pP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826,664,000.00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19烟台港PPN001</w:t>
            </w:r>
          </w:p>
        </w:tc>
        <w:tc>
          <w:tcPr>
            <w:tcW w:w="1118" w:type="pct"/>
            <w:noWrap w:val="0"/>
            <w:vAlign w:val="center"/>
          </w:tcPr>
          <w:p>
            <w:pPr>
              <w:spacing w:line="240" w:lineRule="auto"/>
              <w:jc w:val="right"/>
              <w:rPr>
                <w:rFonts w:hint="eastAsia" w:ascii="宋体" w:hAnsi="宋体" w:eastAsia="宋体" w:cs="Times New Roman"/>
                <w:color w:val="auto"/>
                <w:sz w:val="16"/>
                <w:szCs w:val="16"/>
              </w:rPr>
            </w:pPr>
          </w:p>
        </w:tc>
        <w:tc>
          <w:tcPr>
            <w:tcW w:w="1072"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517,490,000.00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21烟台港MTN002</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507,098,000.00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21烟台港MTN003</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502,880,000.00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97" w:hRule="atLeast"/>
          <w:jc w:val="center"/>
        </w:trPr>
        <w:tc>
          <w:tcPr>
            <w:tcW w:w="2809" w:type="pct"/>
            <w:noWrap w:val="0"/>
            <w:vAlign w:val="center"/>
          </w:tcPr>
          <w:p>
            <w:pPr>
              <w:jc w:val="both"/>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val="0"/>
                <w:bCs w:val="0"/>
                <w:color w:val="auto"/>
                <w:sz w:val="16"/>
                <w:szCs w:val="16"/>
                <w:lang w:val="en-US" w:eastAsia="zh-CN"/>
              </w:rPr>
              <w:t>21烟台港MTN001</w:t>
            </w:r>
          </w:p>
        </w:tc>
        <w:tc>
          <w:tcPr>
            <w:tcW w:w="1118"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507,558,000.00</w:t>
            </w:r>
          </w:p>
        </w:tc>
        <w:tc>
          <w:tcPr>
            <w:tcW w:w="1072"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97" w:hRule="atLeast"/>
          <w:jc w:val="center"/>
        </w:trPr>
        <w:tc>
          <w:tcPr>
            <w:tcW w:w="2809" w:type="pct"/>
            <w:noWrap w:val="0"/>
            <w:vAlign w:val="center"/>
          </w:tcPr>
          <w:p>
            <w:pPr>
              <w:jc w:val="center"/>
              <w:rPr>
                <w:rFonts w:hint="eastAsia" w:ascii="宋体" w:hAnsi="宋体" w:eastAsia="仿宋_GB2312" w:cs="Times New Roman"/>
                <w:b w:val="0"/>
                <w:bCs w:val="0"/>
                <w:color w:val="auto"/>
                <w:sz w:val="16"/>
                <w:szCs w:val="16"/>
                <w:lang w:val="en-US" w:eastAsia="zh-CN"/>
              </w:rPr>
            </w:pPr>
            <w:r>
              <w:rPr>
                <w:rFonts w:hint="eastAsia" w:ascii="宋体" w:hAnsi="宋体" w:eastAsia="仿宋_GB2312" w:cs="Times New Roman"/>
                <w:b/>
                <w:bCs/>
                <w:color w:val="auto"/>
                <w:sz w:val="16"/>
                <w:szCs w:val="16"/>
                <w:lang w:val="en-US" w:eastAsia="zh-CN"/>
              </w:rPr>
              <w:t>合  计</w:t>
            </w:r>
          </w:p>
        </w:tc>
        <w:tc>
          <w:tcPr>
            <w:tcW w:w="1118" w:type="pct"/>
            <w:noWrap w:val="0"/>
            <w:vAlign w:val="center"/>
          </w:tcPr>
          <w:p>
            <w:pPr>
              <w:spacing w:line="240" w:lineRule="auto"/>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17,628,382,626.28</w:t>
            </w:r>
          </w:p>
        </w:tc>
        <w:tc>
          <w:tcPr>
            <w:tcW w:w="1072" w:type="pct"/>
            <w:noWrap w:val="0"/>
            <w:vAlign w:val="center"/>
          </w:tcPr>
          <w:p>
            <w:pPr>
              <w:spacing w:line="240" w:lineRule="auto"/>
              <w:jc w:val="right"/>
              <w:rPr>
                <w:rFonts w:hint="eastAsia" w:ascii="宋体" w:hAnsi="宋体" w:eastAsia="宋体" w:cs="Times New Roman"/>
                <w:b/>
                <w:bCs/>
                <w:color w:val="auto"/>
                <w:sz w:val="16"/>
                <w:szCs w:val="16"/>
              </w:rPr>
            </w:pPr>
            <w:r>
              <w:rPr>
                <w:rFonts w:hint="eastAsia" w:ascii="宋体" w:hAnsi="宋体" w:eastAsia="宋体" w:cs="Times New Roman"/>
                <w:b/>
                <w:bCs/>
                <w:color w:val="auto"/>
                <w:sz w:val="16"/>
                <w:szCs w:val="16"/>
              </w:rPr>
              <w:t>15,286,033,796.13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（10）实收资本</w:t>
      </w:r>
    </w:p>
    <w:tbl>
      <w:tblPr>
        <w:tblStyle w:val="8"/>
        <w:tblpPr w:leftFromText="180" w:rightFromText="180" w:vertAnchor="text" w:horzAnchor="page" w:tblpXSpec="center" w:tblpY="243"/>
        <w:tblOverlap w:val="never"/>
        <w:tblW w:w="5424"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5"/>
        <w:gridCol w:w="1650"/>
        <w:gridCol w:w="735"/>
        <w:gridCol w:w="1650"/>
        <w:gridCol w:w="1513"/>
        <w:gridCol w:w="1624"/>
        <w:gridCol w:w="88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6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bookmarkStart w:id="0" w:name="_Hlk99962042"/>
            <w:r>
              <w:rPr>
                <w:rFonts w:hint="eastAsia" w:ascii="宋体" w:hAnsi="宋体" w:eastAsia="仿宋_GB2312" w:cs="仿宋_GB2312"/>
                <w:b/>
                <w:bCs/>
                <w:color w:val="auto"/>
                <w:sz w:val="16"/>
                <w:szCs w:val="16"/>
              </w:rPr>
              <w:t>投资者名称</w:t>
            </w:r>
          </w:p>
        </w:tc>
        <w:tc>
          <w:tcPr>
            <w:tcW w:w="12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r>
              <w:rPr>
                <w:rFonts w:hint="eastAsia" w:ascii="宋体" w:hAnsi="宋体" w:eastAsia="仿宋_GB2312" w:cs="仿宋_GB2312"/>
                <w:b/>
                <w:bCs/>
                <w:color w:val="auto"/>
                <w:sz w:val="16"/>
                <w:szCs w:val="16"/>
              </w:rPr>
              <w:t>年初余额</w:t>
            </w:r>
          </w:p>
        </w:tc>
        <w:tc>
          <w:tcPr>
            <w:tcW w:w="89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r>
              <w:rPr>
                <w:rFonts w:hint="eastAsia" w:ascii="宋体" w:hAnsi="宋体" w:eastAsia="仿宋_GB2312" w:cs="仿宋_GB2312"/>
                <w:b/>
                <w:bCs/>
                <w:color w:val="auto"/>
                <w:sz w:val="16"/>
                <w:szCs w:val="16"/>
              </w:rPr>
              <w:t>本年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r>
              <w:rPr>
                <w:rFonts w:hint="eastAsia" w:ascii="宋体" w:hAnsi="宋体" w:eastAsia="仿宋_GB2312" w:cs="仿宋_GB2312"/>
                <w:b/>
                <w:bCs/>
                <w:color w:val="auto"/>
                <w:sz w:val="16"/>
                <w:szCs w:val="16"/>
              </w:rPr>
              <w:t>增加</w:t>
            </w:r>
          </w:p>
        </w:tc>
        <w:tc>
          <w:tcPr>
            <w:tcW w:w="8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r>
              <w:rPr>
                <w:rFonts w:hint="eastAsia" w:ascii="宋体" w:hAnsi="宋体" w:eastAsia="仿宋_GB2312" w:cs="仿宋_GB2312"/>
                <w:b/>
                <w:bCs/>
                <w:color w:val="auto"/>
                <w:sz w:val="16"/>
                <w:szCs w:val="16"/>
              </w:rPr>
              <w:t>本年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r>
              <w:rPr>
                <w:rFonts w:hint="eastAsia" w:ascii="宋体" w:hAnsi="宋体" w:eastAsia="仿宋_GB2312" w:cs="仿宋_GB2312"/>
                <w:b/>
                <w:bCs/>
                <w:color w:val="auto"/>
                <w:sz w:val="16"/>
                <w:szCs w:val="16"/>
              </w:rPr>
              <w:t>减少</w:t>
            </w:r>
          </w:p>
        </w:tc>
        <w:tc>
          <w:tcPr>
            <w:tcW w:w="135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bCs/>
                <w:color w:val="auto"/>
                <w:sz w:val="16"/>
                <w:szCs w:val="16"/>
              </w:rPr>
            </w:pPr>
            <w:r>
              <w:rPr>
                <w:rFonts w:hint="eastAsia" w:ascii="宋体" w:hAnsi="宋体" w:eastAsia="仿宋_GB2312" w:cs="仿宋_GB2312"/>
                <w:b/>
                <w:bCs/>
                <w:color w:val="auto"/>
                <w:sz w:val="16"/>
                <w:szCs w:val="16"/>
              </w:rPr>
              <w:t>年末余额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6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宋体" w:hAnsi="宋体" w:eastAsia="仿宋_GB2312" w:cs="仿宋_GB2312"/>
                <w:b/>
                <w:color w:val="auto"/>
                <w:sz w:val="16"/>
                <w:szCs w:val="16"/>
              </w:rPr>
            </w:pPr>
          </w:p>
        </w:tc>
        <w:tc>
          <w:tcPr>
            <w:tcW w:w="892" w:type="pc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color w:val="auto"/>
                <w:sz w:val="16"/>
                <w:szCs w:val="16"/>
              </w:rPr>
            </w:pPr>
            <w:r>
              <w:rPr>
                <w:rFonts w:hint="eastAsia" w:ascii="宋体" w:hAnsi="宋体" w:eastAsia="仿宋_GB2312" w:cs="仿宋_GB2312"/>
                <w:b/>
                <w:color w:val="auto"/>
                <w:sz w:val="16"/>
                <w:szCs w:val="16"/>
              </w:rPr>
              <w:t>投资金额</w:t>
            </w:r>
          </w:p>
        </w:tc>
        <w:tc>
          <w:tcPr>
            <w:tcW w:w="397" w:type="pc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color w:val="auto"/>
                <w:sz w:val="16"/>
                <w:szCs w:val="16"/>
              </w:rPr>
            </w:pPr>
            <w:r>
              <w:rPr>
                <w:rFonts w:hint="eastAsia" w:ascii="宋体" w:hAnsi="宋体" w:eastAsia="仿宋_GB2312" w:cs="仿宋_GB2312"/>
                <w:b/>
                <w:color w:val="auto"/>
                <w:sz w:val="16"/>
                <w:szCs w:val="16"/>
              </w:rPr>
              <w:t>所占比例（%）</w:t>
            </w:r>
          </w:p>
        </w:tc>
        <w:tc>
          <w:tcPr>
            <w:tcW w:w="89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color w:val="auto"/>
                <w:sz w:val="16"/>
                <w:szCs w:val="16"/>
              </w:rPr>
            </w:pPr>
          </w:p>
        </w:tc>
        <w:tc>
          <w:tcPr>
            <w:tcW w:w="8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color w:val="auto"/>
                <w:sz w:val="16"/>
                <w:szCs w:val="16"/>
              </w:rPr>
            </w:pP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color w:val="auto"/>
                <w:sz w:val="16"/>
                <w:szCs w:val="16"/>
              </w:rPr>
            </w:pPr>
            <w:r>
              <w:rPr>
                <w:rFonts w:hint="eastAsia" w:ascii="宋体" w:hAnsi="宋体" w:eastAsia="仿宋_GB2312" w:cs="仿宋_GB2312"/>
                <w:b/>
                <w:color w:val="auto"/>
                <w:sz w:val="16"/>
                <w:szCs w:val="16"/>
              </w:rPr>
              <w:t>投资金额</w:t>
            </w: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仿宋_GB2312" w:cs="仿宋_GB2312"/>
                <w:b/>
                <w:color w:val="auto"/>
                <w:sz w:val="16"/>
                <w:szCs w:val="16"/>
              </w:rPr>
            </w:pPr>
            <w:r>
              <w:rPr>
                <w:rFonts w:hint="eastAsia" w:ascii="宋体" w:hAnsi="宋体" w:eastAsia="仿宋_GB2312" w:cs="仿宋_GB2312"/>
                <w:b/>
                <w:color w:val="auto"/>
                <w:sz w:val="16"/>
                <w:szCs w:val="16"/>
              </w:rPr>
              <w:t>所占比例（%）</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青岛交通发展集团有限公司</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397" w:type="pct"/>
            <w:noWrap w:val="0"/>
            <w:vAlign w:val="center"/>
          </w:tcPr>
          <w:p>
            <w:pPr>
              <w:spacing w:line="240" w:lineRule="auto"/>
              <w:jc w:val="right"/>
              <w:rPr>
                <w:rFonts w:hint="default" w:ascii="宋体" w:hAnsi="宋体" w:cs="Times New Roman"/>
                <w:color w:val="auto"/>
                <w:sz w:val="16"/>
                <w:szCs w:val="16"/>
              </w:rPr>
            </w:pP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13,981,186,863.00</w:t>
            </w:r>
          </w:p>
        </w:tc>
        <w:tc>
          <w:tcPr>
            <w:tcW w:w="818" w:type="pct"/>
            <w:noWrap w:val="0"/>
            <w:vAlign w:val="center"/>
          </w:tcPr>
          <w:p>
            <w:pPr>
              <w:spacing w:line="240" w:lineRule="auto"/>
              <w:jc w:val="right"/>
              <w:rPr>
                <w:rFonts w:hint="default" w:ascii="宋体" w:hAnsi="宋体" w:cs="Times New Roman"/>
                <w:color w:val="auto"/>
                <w:sz w:val="16"/>
                <w:szCs w:val="16"/>
              </w:rPr>
            </w:pPr>
          </w:p>
        </w:tc>
        <w:tc>
          <w:tcPr>
            <w:tcW w:w="87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13,981,186,863.00</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46.6040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烟台市轨道交通集团有限公司</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397" w:type="pct"/>
            <w:noWrap w:val="0"/>
            <w:vAlign w:val="center"/>
          </w:tcPr>
          <w:p>
            <w:pPr>
              <w:spacing w:line="240" w:lineRule="auto"/>
              <w:jc w:val="right"/>
              <w:rPr>
                <w:rFonts w:hint="default" w:ascii="宋体" w:hAnsi="宋体" w:cs="Times New Roman"/>
                <w:color w:val="auto"/>
                <w:sz w:val="16"/>
                <w:szCs w:val="16"/>
              </w:rPr>
            </w:pP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5,212,733,076.97</w:t>
            </w:r>
          </w:p>
        </w:tc>
        <w:tc>
          <w:tcPr>
            <w:tcW w:w="818" w:type="pct"/>
            <w:noWrap w:val="0"/>
            <w:vAlign w:val="center"/>
          </w:tcPr>
          <w:p>
            <w:pPr>
              <w:spacing w:line="240" w:lineRule="auto"/>
              <w:jc w:val="right"/>
              <w:rPr>
                <w:rFonts w:hint="default" w:ascii="宋体" w:hAnsi="宋体" w:cs="Times New Roman"/>
                <w:color w:val="auto"/>
                <w:sz w:val="16"/>
                <w:szCs w:val="16"/>
              </w:rPr>
            </w:pPr>
          </w:p>
        </w:tc>
        <w:tc>
          <w:tcPr>
            <w:tcW w:w="87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5,212,733,076.97</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17.3758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日照交通能源发展集团有限公司</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397" w:type="pct"/>
            <w:noWrap w:val="0"/>
            <w:vAlign w:val="center"/>
          </w:tcPr>
          <w:p>
            <w:pPr>
              <w:spacing w:line="240" w:lineRule="auto"/>
              <w:jc w:val="right"/>
              <w:rPr>
                <w:rFonts w:hint="default" w:ascii="宋体" w:hAnsi="宋体" w:cs="Times New Roman"/>
                <w:color w:val="auto"/>
                <w:sz w:val="16"/>
                <w:szCs w:val="16"/>
              </w:rPr>
            </w:pP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4,586,983,671.64</w:t>
            </w:r>
          </w:p>
        </w:tc>
        <w:tc>
          <w:tcPr>
            <w:tcW w:w="818" w:type="pct"/>
            <w:noWrap w:val="0"/>
            <w:vAlign w:val="center"/>
          </w:tcPr>
          <w:p>
            <w:pPr>
              <w:spacing w:line="240" w:lineRule="auto"/>
              <w:jc w:val="right"/>
              <w:rPr>
                <w:rFonts w:hint="default" w:ascii="宋体" w:hAnsi="宋体" w:cs="Times New Roman"/>
                <w:color w:val="auto"/>
                <w:sz w:val="16"/>
                <w:szCs w:val="16"/>
              </w:rPr>
            </w:pPr>
          </w:p>
        </w:tc>
        <w:tc>
          <w:tcPr>
            <w:tcW w:w="87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4,586,983,671.64</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15.2899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山东高速集团有限公司</w:t>
            </w: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3,000,000,000.00</w:t>
            </w:r>
          </w:p>
        </w:tc>
        <w:tc>
          <w:tcPr>
            <w:tcW w:w="397"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30.00</w:t>
            </w: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1,243,361,055.04</w:t>
            </w:r>
          </w:p>
        </w:tc>
        <w:tc>
          <w:tcPr>
            <w:tcW w:w="818" w:type="pct"/>
            <w:noWrap w:val="0"/>
            <w:vAlign w:val="center"/>
          </w:tcPr>
          <w:p>
            <w:pPr>
              <w:spacing w:line="240" w:lineRule="auto"/>
              <w:jc w:val="right"/>
              <w:rPr>
                <w:rFonts w:hint="default" w:ascii="宋体" w:hAnsi="宋体" w:cs="Times New Roman"/>
                <w:color w:val="auto"/>
                <w:sz w:val="16"/>
                <w:szCs w:val="16"/>
              </w:rPr>
            </w:pPr>
          </w:p>
        </w:tc>
        <w:tc>
          <w:tcPr>
            <w:tcW w:w="87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4,243,361,055.04</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14.1445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山东能源集团有限公司</w:t>
            </w: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2,000,000,000.00</w:t>
            </w:r>
          </w:p>
        </w:tc>
        <w:tc>
          <w:tcPr>
            <w:tcW w:w="397"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20.00</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81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795,724,219.78</w:t>
            </w:r>
          </w:p>
        </w:tc>
        <w:tc>
          <w:tcPr>
            <w:tcW w:w="87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1,204,275,780.22</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4.0143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威海产业投资集团有限公司</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397" w:type="pct"/>
            <w:noWrap w:val="0"/>
            <w:vAlign w:val="center"/>
          </w:tcPr>
          <w:p>
            <w:pPr>
              <w:spacing w:line="240" w:lineRule="auto"/>
              <w:jc w:val="right"/>
              <w:rPr>
                <w:rFonts w:hint="default" w:ascii="宋体" w:hAnsi="宋体" w:cs="Times New Roman"/>
                <w:color w:val="auto"/>
                <w:sz w:val="16"/>
                <w:szCs w:val="16"/>
              </w:rPr>
            </w:pP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771,459,553.13</w:t>
            </w:r>
          </w:p>
        </w:tc>
        <w:tc>
          <w:tcPr>
            <w:tcW w:w="818" w:type="pct"/>
            <w:noWrap w:val="0"/>
            <w:vAlign w:val="center"/>
          </w:tcPr>
          <w:p>
            <w:pPr>
              <w:spacing w:line="240" w:lineRule="auto"/>
              <w:jc w:val="right"/>
              <w:rPr>
                <w:rFonts w:hint="default" w:ascii="宋体" w:hAnsi="宋体" w:cs="Times New Roman"/>
                <w:color w:val="auto"/>
                <w:sz w:val="16"/>
                <w:szCs w:val="16"/>
              </w:rPr>
            </w:pPr>
          </w:p>
        </w:tc>
        <w:tc>
          <w:tcPr>
            <w:tcW w:w="87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771,459,553.13</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2.5715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齐鲁交通发展集团有限公司</w:t>
            </w: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3,000,000,000.00</w:t>
            </w:r>
          </w:p>
        </w:tc>
        <w:tc>
          <w:tcPr>
            <w:tcW w:w="397"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30.00</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81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3,000,000,000.00</w:t>
            </w:r>
          </w:p>
        </w:tc>
        <w:tc>
          <w:tcPr>
            <w:tcW w:w="878" w:type="pct"/>
            <w:noWrap w:val="0"/>
            <w:vAlign w:val="center"/>
          </w:tcPr>
          <w:p>
            <w:pPr>
              <w:spacing w:line="240" w:lineRule="auto"/>
              <w:jc w:val="right"/>
              <w:rPr>
                <w:rFonts w:hint="default" w:ascii="宋体" w:hAnsi="宋体" w:cs="Times New Roman"/>
                <w:color w:val="auto"/>
                <w:sz w:val="16"/>
                <w:szCs w:val="16"/>
              </w:rPr>
            </w:pPr>
          </w:p>
        </w:tc>
        <w:tc>
          <w:tcPr>
            <w:tcW w:w="480"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仿宋_GB2312" w:cs="Times New Roman"/>
                <w:color w:val="auto"/>
                <w:sz w:val="16"/>
                <w:szCs w:val="16"/>
              </w:rPr>
            </w:pPr>
            <w:r>
              <w:rPr>
                <w:rFonts w:hint="eastAsia" w:ascii="宋体" w:hAnsi="宋体" w:eastAsia="仿宋_GB2312" w:cs="Times New Roman"/>
                <w:color w:val="auto"/>
                <w:sz w:val="16"/>
                <w:szCs w:val="16"/>
              </w:rPr>
              <w:t>兖矿集团有限公司</w:t>
            </w:r>
          </w:p>
        </w:tc>
        <w:tc>
          <w:tcPr>
            <w:tcW w:w="892"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2,000,000,000.00</w:t>
            </w:r>
          </w:p>
        </w:tc>
        <w:tc>
          <w:tcPr>
            <w:tcW w:w="397"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20.00</w:t>
            </w:r>
          </w:p>
        </w:tc>
        <w:tc>
          <w:tcPr>
            <w:tcW w:w="892" w:type="pct"/>
            <w:noWrap w:val="0"/>
            <w:vAlign w:val="center"/>
          </w:tcPr>
          <w:p>
            <w:pPr>
              <w:spacing w:line="240" w:lineRule="auto"/>
              <w:jc w:val="right"/>
              <w:rPr>
                <w:rFonts w:hint="default" w:ascii="宋体" w:hAnsi="宋体" w:cs="Times New Roman"/>
                <w:color w:val="auto"/>
                <w:sz w:val="16"/>
                <w:szCs w:val="16"/>
              </w:rPr>
            </w:pPr>
          </w:p>
        </w:tc>
        <w:tc>
          <w:tcPr>
            <w:tcW w:w="818" w:type="pct"/>
            <w:noWrap w:val="0"/>
            <w:vAlign w:val="center"/>
          </w:tcPr>
          <w:p>
            <w:pPr>
              <w:spacing w:line="240" w:lineRule="auto"/>
              <w:jc w:val="right"/>
              <w:rPr>
                <w:rFonts w:hint="default" w:ascii="宋体" w:hAnsi="宋体" w:cs="Times New Roman"/>
                <w:color w:val="auto"/>
                <w:sz w:val="16"/>
                <w:szCs w:val="16"/>
              </w:rPr>
            </w:pPr>
            <w:r>
              <w:rPr>
                <w:rFonts w:hint="default" w:ascii="宋体" w:hAnsi="宋体" w:cs="Times New Roman"/>
                <w:color w:val="auto"/>
                <w:sz w:val="16"/>
                <w:szCs w:val="16"/>
              </w:rPr>
              <w:t>2,000,000,000.00</w:t>
            </w:r>
          </w:p>
        </w:tc>
        <w:tc>
          <w:tcPr>
            <w:tcW w:w="878" w:type="pct"/>
            <w:noWrap w:val="0"/>
            <w:vAlign w:val="center"/>
          </w:tcPr>
          <w:p>
            <w:pPr>
              <w:spacing w:line="240" w:lineRule="auto"/>
              <w:jc w:val="right"/>
              <w:rPr>
                <w:rFonts w:hint="default" w:ascii="宋体" w:hAnsi="宋体" w:cs="Times New Roman"/>
                <w:color w:val="auto"/>
                <w:sz w:val="16"/>
                <w:szCs w:val="16"/>
              </w:rPr>
            </w:pPr>
          </w:p>
        </w:tc>
        <w:tc>
          <w:tcPr>
            <w:tcW w:w="480" w:type="pct"/>
            <w:noWrap w:val="0"/>
            <w:vAlign w:val="center"/>
          </w:tcPr>
          <w:p>
            <w:pPr>
              <w:spacing w:line="240" w:lineRule="auto"/>
              <w:jc w:val="right"/>
              <w:rPr>
                <w:rFonts w:hint="eastAsia" w:ascii="宋体" w:hAnsi="宋体" w:eastAsia="宋体" w:cs="Times New Roman"/>
                <w:color w:val="auto"/>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0" w:type="pct"/>
            <w:noWrap w:val="0"/>
            <w:vAlign w:val="center"/>
          </w:tcPr>
          <w:p>
            <w:pPr>
              <w:jc w:val="center"/>
              <w:rPr>
                <w:rFonts w:hint="eastAsia" w:ascii="宋体" w:hAnsi="宋体" w:eastAsia="仿宋_GB2312" w:cs="Times New Roman"/>
                <w:color w:val="auto"/>
                <w:sz w:val="16"/>
                <w:szCs w:val="16"/>
              </w:rPr>
            </w:pPr>
            <w:r>
              <w:rPr>
                <w:rFonts w:hint="eastAsia" w:ascii="宋体" w:hAnsi="宋体" w:eastAsia="仿宋_GB2312" w:cs="Times New Roman"/>
                <w:b/>
                <w:bCs/>
                <w:color w:val="auto"/>
                <w:sz w:val="16"/>
                <w:szCs w:val="16"/>
              </w:rPr>
              <w:t>合</w:t>
            </w:r>
            <w:r>
              <w:rPr>
                <w:rFonts w:hint="eastAsia" w:ascii="宋体" w:hAnsi="宋体" w:eastAsia="仿宋_GB2312" w:cs="Times New Roman"/>
                <w:b/>
                <w:bCs/>
                <w:color w:val="auto"/>
                <w:sz w:val="16"/>
                <w:szCs w:val="16"/>
                <w:lang w:val="en-US" w:eastAsia="zh-CN"/>
              </w:rPr>
              <w:t xml:space="preserve">  </w:t>
            </w:r>
            <w:r>
              <w:rPr>
                <w:rFonts w:hint="eastAsia" w:ascii="宋体" w:hAnsi="宋体" w:eastAsia="仿宋_GB2312" w:cs="Times New Roman"/>
                <w:b/>
                <w:bCs/>
                <w:color w:val="auto"/>
                <w:sz w:val="16"/>
                <w:szCs w:val="16"/>
              </w:rPr>
              <w:t>计</w:t>
            </w:r>
          </w:p>
        </w:tc>
        <w:tc>
          <w:tcPr>
            <w:tcW w:w="892" w:type="pct"/>
            <w:noWrap w:val="0"/>
            <w:vAlign w:val="center"/>
          </w:tcPr>
          <w:p>
            <w:pPr>
              <w:spacing w:line="240" w:lineRule="auto"/>
              <w:jc w:val="right"/>
              <w:textAlignment w:val="center"/>
              <w:rPr>
                <w:rFonts w:hint="default" w:ascii="宋体" w:hAnsi="宋体" w:cs="Times New Roman"/>
                <w:b/>
                <w:color w:val="auto"/>
                <w:sz w:val="16"/>
                <w:szCs w:val="16"/>
                <w:lang w:bidi="ar"/>
              </w:rPr>
            </w:pPr>
            <w:r>
              <w:rPr>
                <w:rFonts w:hint="default" w:ascii="宋体" w:hAnsi="宋体" w:cs="Times New Roman"/>
                <w:b/>
                <w:color w:val="auto"/>
                <w:sz w:val="16"/>
                <w:szCs w:val="16"/>
              </w:rPr>
              <w:t>10,000,000,000.00</w:t>
            </w:r>
          </w:p>
        </w:tc>
        <w:tc>
          <w:tcPr>
            <w:tcW w:w="397" w:type="pct"/>
            <w:noWrap w:val="0"/>
            <w:vAlign w:val="center"/>
          </w:tcPr>
          <w:p>
            <w:pPr>
              <w:spacing w:line="240" w:lineRule="auto"/>
              <w:jc w:val="right"/>
              <w:textAlignment w:val="center"/>
              <w:rPr>
                <w:rFonts w:hint="default" w:ascii="宋体" w:hAnsi="宋体" w:cs="Times New Roman"/>
                <w:b/>
                <w:color w:val="auto"/>
                <w:sz w:val="16"/>
                <w:szCs w:val="16"/>
                <w:lang w:bidi="ar"/>
              </w:rPr>
            </w:pPr>
            <w:r>
              <w:rPr>
                <w:rFonts w:hint="default" w:ascii="宋体" w:hAnsi="宋体" w:cs="Times New Roman"/>
                <w:b/>
                <w:color w:val="auto"/>
                <w:sz w:val="16"/>
                <w:szCs w:val="16"/>
              </w:rPr>
              <w:t>100.00</w:t>
            </w:r>
          </w:p>
        </w:tc>
        <w:tc>
          <w:tcPr>
            <w:tcW w:w="892" w:type="pct"/>
            <w:noWrap w:val="0"/>
            <w:vAlign w:val="center"/>
          </w:tcPr>
          <w:p>
            <w:pPr>
              <w:spacing w:line="240" w:lineRule="auto"/>
              <w:jc w:val="right"/>
              <w:textAlignment w:val="center"/>
              <w:rPr>
                <w:rFonts w:hint="default" w:ascii="宋体" w:hAnsi="宋体" w:eastAsia="宋体" w:cs="Times New Roman"/>
                <w:b/>
                <w:color w:val="auto"/>
                <w:sz w:val="16"/>
                <w:szCs w:val="16"/>
              </w:rPr>
            </w:pPr>
            <w:r>
              <w:rPr>
                <w:rFonts w:hint="default" w:ascii="宋体" w:hAnsi="宋体" w:eastAsia="宋体" w:cs="Times New Roman"/>
                <w:b/>
                <w:color w:val="auto"/>
                <w:sz w:val="16"/>
                <w:szCs w:val="16"/>
              </w:rPr>
              <w:t>25,795,724,219.78</w:t>
            </w:r>
          </w:p>
        </w:tc>
        <w:tc>
          <w:tcPr>
            <w:tcW w:w="818" w:type="pct"/>
            <w:noWrap w:val="0"/>
            <w:vAlign w:val="center"/>
          </w:tcPr>
          <w:p>
            <w:pPr>
              <w:spacing w:line="240" w:lineRule="auto"/>
              <w:jc w:val="right"/>
              <w:textAlignment w:val="center"/>
              <w:rPr>
                <w:rFonts w:hint="default" w:ascii="宋体" w:hAnsi="宋体" w:eastAsia="宋体" w:cs="Times New Roman"/>
                <w:b/>
                <w:color w:val="auto"/>
                <w:sz w:val="16"/>
                <w:szCs w:val="16"/>
              </w:rPr>
            </w:pPr>
            <w:r>
              <w:rPr>
                <w:rFonts w:hint="default" w:ascii="宋体" w:hAnsi="宋体" w:eastAsia="宋体" w:cs="Times New Roman"/>
                <w:b/>
                <w:color w:val="auto"/>
                <w:sz w:val="16"/>
                <w:szCs w:val="16"/>
              </w:rPr>
              <w:t>5,795,724,219.78</w:t>
            </w:r>
          </w:p>
        </w:tc>
        <w:tc>
          <w:tcPr>
            <w:tcW w:w="878" w:type="pct"/>
            <w:noWrap w:val="0"/>
            <w:vAlign w:val="center"/>
          </w:tcPr>
          <w:p>
            <w:pPr>
              <w:spacing w:line="240" w:lineRule="auto"/>
              <w:jc w:val="right"/>
              <w:textAlignment w:val="center"/>
              <w:rPr>
                <w:rFonts w:hint="default" w:ascii="宋体" w:hAnsi="宋体" w:cs="Times New Roman"/>
                <w:b/>
                <w:color w:val="auto"/>
                <w:sz w:val="16"/>
                <w:szCs w:val="16"/>
                <w:lang w:bidi="ar"/>
              </w:rPr>
            </w:pPr>
            <w:r>
              <w:rPr>
                <w:rFonts w:hint="default" w:ascii="宋体" w:hAnsi="宋体" w:cs="Times New Roman"/>
                <w:b/>
                <w:color w:val="auto"/>
                <w:sz w:val="16"/>
                <w:szCs w:val="16"/>
              </w:rPr>
              <w:t>30,000,000,000.00</w:t>
            </w:r>
          </w:p>
        </w:tc>
        <w:tc>
          <w:tcPr>
            <w:tcW w:w="480" w:type="pct"/>
            <w:noWrap w:val="0"/>
            <w:vAlign w:val="center"/>
          </w:tcPr>
          <w:p>
            <w:pPr>
              <w:spacing w:line="240" w:lineRule="auto"/>
              <w:jc w:val="right"/>
              <w:rPr>
                <w:rFonts w:hint="eastAsia" w:ascii="宋体" w:hAnsi="宋体" w:eastAsia="宋体" w:cs="Times New Roman"/>
                <w:color w:val="auto"/>
                <w:sz w:val="16"/>
                <w:szCs w:val="16"/>
              </w:rPr>
            </w:pPr>
            <w:r>
              <w:rPr>
                <w:rFonts w:hint="eastAsia" w:ascii="宋体" w:hAnsi="宋体" w:eastAsia="宋体" w:cs="Times New Roman"/>
                <w:color w:val="auto"/>
                <w:sz w:val="16"/>
                <w:szCs w:val="16"/>
              </w:rPr>
              <w:t>100.0000</w:t>
            </w:r>
          </w:p>
        </w:tc>
      </w:tr>
      <w:bookmarkEnd w:id="0"/>
    </w:tbl>
    <w:p>
      <w:pPr>
        <w:ind w:firstLine="640" w:firstLineChars="200"/>
        <w:rPr>
          <w:rFonts w:hint="eastAsia" w:ascii="宋体" w:hAnsi="宋体" w:eastAsia="楷体_GB2312" w:cs="楷体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（二）利润表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firstLine="5040" w:firstLineChars="2100"/>
        <w:jc w:val="center"/>
        <w:textAlignment w:val="auto"/>
        <w:rPr>
          <w:rFonts w:hint="eastAsia" w:ascii="宋体" w:hAnsi="宋体" w:eastAsia="仿宋_GB2312" w:cs="仿宋_GB2312"/>
          <w:color w:val="auto"/>
          <w:sz w:val="24"/>
          <w:szCs w:val="24"/>
          <w:lang w:val="en-US" w:eastAsia="zh-CN"/>
        </w:rPr>
      </w:pPr>
      <w:r>
        <w:rPr>
          <w:rFonts w:hint="eastAsia" w:ascii="宋体" w:hAnsi="宋体" w:eastAsia="仿宋_GB2312" w:cs="仿宋_GB2312"/>
          <w:color w:val="auto"/>
          <w:sz w:val="24"/>
          <w:szCs w:val="24"/>
          <w:lang w:val="en-US" w:eastAsia="zh-CN"/>
        </w:rPr>
        <w:t xml:space="preserve">       单位：元</w:t>
      </w:r>
    </w:p>
    <w:tbl>
      <w:tblPr>
        <w:tblStyle w:val="8"/>
        <w:tblW w:w="82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82"/>
        <w:gridCol w:w="687"/>
        <w:gridCol w:w="1838"/>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仿宋_GB2312" w:cs="宋体"/>
                <w:b/>
                <w:bCs/>
                <w:color w:val="auto"/>
                <w:kern w:val="0"/>
                <w:sz w:val="16"/>
                <w:szCs w:val="16"/>
                <w:lang w:bidi="ar"/>
              </w:rPr>
            </w:pPr>
            <w:r>
              <w:rPr>
                <w:rFonts w:hint="eastAsia" w:ascii="宋体" w:hAnsi="宋体" w:eastAsia="仿宋_GB2312" w:cs="宋体"/>
                <w:b/>
                <w:bCs/>
                <w:color w:val="auto"/>
                <w:kern w:val="0"/>
                <w:sz w:val="16"/>
                <w:szCs w:val="16"/>
                <w:lang w:val="en-US" w:eastAsia="zh-CN" w:bidi="ar"/>
              </w:rPr>
              <w:t>项目</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仿宋_GB2312" w:cs="宋体"/>
                <w:b/>
                <w:bCs/>
                <w:color w:val="auto"/>
                <w:kern w:val="0"/>
                <w:sz w:val="16"/>
                <w:szCs w:val="16"/>
                <w:lang w:bidi="ar"/>
              </w:rPr>
            </w:pPr>
            <w:r>
              <w:rPr>
                <w:rFonts w:hint="eastAsia" w:ascii="宋体" w:hAnsi="宋体" w:eastAsia="仿宋_GB2312" w:cs="宋体"/>
                <w:b/>
                <w:bCs/>
                <w:color w:val="auto"/>
                <w:kern w:val="0"/>
                <w:sz w:val="16"/>
                <w:szCs w:val="16"/>
                <w:lang w:val="en-US" w:eastAsia="zh-CN" w:bidi="ar"/>
              </w:rPr>
              <w:t>行次</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仿宋_GB2312" w:cs="宋体"/>
                <w:b/>
                <w:bCs/>
                <w:color w:val="auto"/>
                <w:kern w:val="0"/>
                <w:sz w:val="16"/>
                <w:szCs w:val="16"/>
                <w:lang w:bidi="ar"/>
              </w:rPr>
            </w:pPr>
            <w:r>
              <w:rPr>
                <w:rFonts w:hint="eastAsia" w:ascii="宋体" w:hAnsi="宋体" w:eastAsia="仿宋_GB2312" w:cs="宋体"/>
                <w:b/>
                <w:bCs/>
                <w:color w:val="auto"/>
                <w:kern w:val="0"/>
                <w:sz w:val="16"/>
                <w:szCs w:val="16"/>
                <w:lang w:val="en-US" w:eastAsia="zh-CN" w:bidi="ar"/>
              </w:rPr>
              <w:t>本期金额</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仿宋_GB2312" w:cs="宋体"/>
                <w:b/>
                <w:bCs/>
                <w:color w:val="auto"/>
                <w:kern w:val="0"/>
                <w:sz w:val="16"/>
                <w:szCs w:val="16"/>
                <w:lang w:bidi="ar"/>
              </w:rPr>
            </w:pPr>
            <w:r>
              <w:rPr>
                <w:rFonts w:hint="eastAsia" w:ascii="宋体" w:hAnsi="宋体" w:eastAsia="仿宋_GB2312" w:cs="宋体"/>
                <w:b/>
                <w:bCs/>
                <w:color w:val="auto"/>
                <w:kern w:val="0"/>
                <w:sz w:val="16"/>
                <w:szCs w:val="16"/>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一、营业总收入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83,982,723,489.94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50,195,052,062.71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其中：营业收入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83,982,723,489.94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50,195,052,062.71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△利息收入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△已赚保费</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△手续费及佣金收入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二、营业总成本</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78,626,436,645.60</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45,754,610,539.15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其中：营业成本</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71,577,832,349.44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39,518,272,318.09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△利息支出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△手续费及佣金支出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△退保金</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△赔付支出净额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△提取保险责任准备金净额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△保单红利支出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13</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△分保费用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税金及附加</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540,183,535.74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301,349,103.10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销售费用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72,120,913.76</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55,524,041.82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管理费用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3,918,233,875.60</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3,402,717,209.28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研发费用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167,644,935.16</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24,768,175.45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财务费用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2,350,421,035.90</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2,451,979,691.41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其中：利息费用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2,957,166,566.06</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2,852,548,469.54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利息收入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692,196,530.37</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606,316,977.03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汇兑净损失（净收益以“-”号填列）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-112,963,845.14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19,915,687.96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加：其他收益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357,239,043.43</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298,344,833.07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投资收益（损失以“-”号填列）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1,947,795,004.85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2,030,899,791.97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其中：对联营企业和合营企业的投资收益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1,302,257,330.85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1,468,860,817.77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以摊余成本计量的金融资产终止确认收益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△汇兑收益（损失以“-”号填列）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净敞口套期收益（损失以“-”号填列）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公允价值变动收益（损失以“-”号填列）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142,203,777.33</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-32,723,391.65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信用减值损失（损失以“-”号填列）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kern w:val="0"/>
                <w:sz w:val="16"/>
                <w:szCs w:val="16"/>
                <w:u w:val="none"/>
                <w:lang w:val="en-US" w:eastAsia="zh-CN" w:bidi="ar"/>
              </w:rPr>
            </w:pPr>
            <w:r>
              <w:rPr>
                <w:rFonts w:hint="default" w:ascii="宋体" w:hAnsi="宋体" w:eastAsia="宋体" w:cs="Times New Roman"/>
                <w:i w:val="0"/>
                <w:iCs w:val="0"/>
                <w:color w:val="auto"/>
                <w:kern w:val="0"/>
                <w:sz w:val="16"/>
                <w:szCs w:val="16"/>
                <w:u w:val="none"/>
                <w:lang w:val="en-US" w:eastAsia="zh-CN" w:bidi="ar"/>
              </w:rPr>
              <w:fldChar w:fldCharType="begin"/>
            </w:r>
            <w:r>
              <w:rPr>
                <w:rFonts w:hint="default" w:ascii="宋体" w:hAnsi="宋体" w:eastAsia="宋体" w:cs="Times New Roman"/>
                <w:i w:val="0"/>
                <w:iCs w:val="0"/>
                <w:color w:val="auto"/>
                <w:kern w:val="0"/>
                <w:sz w:val="16"/>
                <w:szCs w:val="16"/>
                <w:u w:val="none"/>
                <w:lang w:val="en-US" w:eastAsia="zh-CN" w:bidi="ar"/>
              </w:rPr>
              <w:instrText xml:space="preserve"> =SUM(ABOVE) \# "#,##0.00" </w:instrText>
            </w:r>
            <w:r>
              <w:rPr>
                <w:rFonts w:hint="default" w:ascii="宋体" w:hAnsi="宋体" w:eastAsia="宋体" w:cs="Times New Roman"/>
                <w:i w:val="0"/>
                <w:iCs w:val="0"/>
                <w:color w:val="auto"/>
                <w:kern w:val="0"/>
                <w:sz w:val="16"/>
                <w:szCs w:val="16"/>
                <w:u w:val="none"/>
                <w:lang w:val="en-US" w:eastAsia="zh-CN" w:bidi="ar"/>
              </w:rPr>
              <w:fldChar w:fldCharType="separate"/>
            </w:r>
            <w:r>
              <w:rPr>
                <w:rFonts w:hint="default" w:ascii="宋体" w:hAnsi="宋体" w:eastAsia="宋体" w:cs="Times New Roman"/>
                <w:i w:val="0"/>
                <w:iCs w:val="0"/>
                <w:color w:val="auto"/>
                <w:kern w:val="0"/>
                <w:sz w:val="16"/>
                <w:szCs w:val="16"/>
                <w:u w:val="none"/>
                <w:lang w:val="en-US" w:eastAsia="zh-CN" w:bidi="ar"/>
              </w:rPr>
              <w:t>-618,270,993.21</w:t>
            </w:r>
            <w:r>
              <w:rPr>
                <w:rFonts w:hint="default" w:ascii="宋体" w:hAnsi="宋体" w:eastAsia="宋体" w:cs="Times New Roman"/>
                <w:i w:val="0"/>
                <w:iCs w:val="0"/>
                <w:color w:val="auto"/>
                <w:kern w:val="0"/>
                <w:sz w:val="16"/>
                <w:szCs w:val="16"/>
                <w:u w:val="none"/>
                <w:lang w:val="en-US" w:eastAsia="zh-CN" w:bidi="ar"/>
              </w:rPr>
              <w:fldChar w:fldCharType="end"/>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kern w:val="0"/>
                <w:sz w:val="16"/>
                <w:szCs w:val="16"/>
                <w:u w:val="none"/>
                <w:lang w:val="en-US" w:eastAsia="zh-CN" w:bidi="ar"/>
              </w:rPr>
            </w:pPr>
            <w:r>
              <w:rPr>
                <w:rFonts w:hint="default" w:ascii="宋体" w:hAnsi="宋体" w:eastAsia="宋体" w:cs="Times New Roman"/>
                <w:i w:val="0"/>
                <w:iCs w:val="0"/>
                <w:color w:val="auto"/>
                <w:kern w:val="0"/>
                <w:sz w:val="16"/>
                <w:szCs w:val="16"/>
                <w:u w:val="none"/>
                <w:lang w:val="en-US" w:eastAsia="zh-CN" w:bidi="ar"/>
              </w:rPr>
              <w:t>-111,066,333.59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资产减值损失（损失以“-”号填列）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kern w:val="0"/>
                <w:sz w:val="16"/>
                <w:szCs w:val="16"/>
                <w:u w:val="none"/>
                <w:lang w:val="en-US" w:eastAsia="zh-CN" w:bidi="ar"/>
              </w:rPr>
            </w:pPr>
            <w:r>
              <w:rPr>
                <w:rFonts w:hint="default" w:ascii="宋体" w:hAnsi="宋体" w:eastAsia="宋体" w:cs="Times New Roman"/>
                <w:i w:val="0"/>
                <w:iCs w:val="0"/>
                <w:color w:val="auto"/>
                <w:kern w:val="0"/>
                <w:sz w:val="16"/>
                <w:szCs w:val="16"/>
                <w:u w:val="none"/>
                <w:lang w:val="en-US" w:eastAsia="zh-CN" w:bidi="ar"/>
              </w:rPr>
              <w:fldChar w:fldCharType="begin"/>
            </w:r>
            <w:r>
              <w:rPr>
                <w:rFonts w:hint="default" w:ascii="宋体" w:hAnsi="宋体" w:eastAsia="宋体" w:cs="Times New Roman"/>
                <w:i w:val="0"/>
                <w:iCs w:val="0"/>
                <w:color w:val="auto"/>
                <w:kern w:val="0"/>
                <w:sz w:val="16"/>
                <w:szCs w:val="16"/>
                <w:u w:val="none"/>
                <w:lang w:val="en-US" w:eastAsia="zh-CN" w:bidi="ar"/>
              </w:rPr>
              <w:instrText xml:space="preserve"> =SUM(ABOVE) \# "#,##0.00" </w:instrText>
            </w:r>
            <w:r>
              <w:rPr>
                <w:rFonts w:hint="default" w:ascii="宋体" w:hAnsi="宋体" w:eastAsia="宋体" w:cs="Times New Roman"/>
                <w:i w:val="0"/>
                <w:iCs w:val="0"/>
                <w:color w:val="auto"/>
                <w:kern w:val="0"/>
                <w:sz w:val="16"/>
                <w:szCs w:val="16"/>
                <w:u w:val="none"/>
                <w:lang w:val="en-US" w:eastAsia="zh-CN" w:bidi="ar"/>
              </w:rPr>
              <w:fldChar w:fldCharType="separate"/>
            </w:r>
            <w:r>
              <w:rPr>
                <w:rFonts w:hint="default" w:ascii="宋体" w:hAnsi="宋体" w:eastAsia="宋体" w:cs="Times New Roman"/>
                <w:i w:val="0"/>
                <w:iCs w:val="0"/>
                <w:color w:val="auto"/>
                <w:kern w:val="0"/>
                <w:sz w:val="16"/>
                <w:szCs w:val="16"/>
                <w:u w:val="none"/>
                <w:lang w:val="en-US" w:eastAsia="zh-CN" w:bidi="ar"/>
              </w:rPr>
              <w:t>-221,192,762.02</w:t>
            </w:r>
            <w:r>
              <w:rPr>
                <w:rFonts w:hint="default" w:ascii="宋体" w:hAnsi="宋体" w:eastAsia="宋体" w:cs="Times New Roman"/>
                <w:i w:val="0"/>
                <w:iCs w:val="0"/>
                <w:color w:val="auto"/>
                <w:kern w:val="0"/>
                <w:sz w:val="16"/>
                <w:szCs w:val="16"/>
                <w:u w:val="none"/>
                <w:lang w:val="en-US" w:eastAsia="zh-CN" w:bidi="ar"/>
              </w:rPr>
              <w:fldChar w:fldCharType="end"/>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kern w:val="0"/>
                <w:sz w:val="16"/>
                <w:szCs w:val="16"/>
                <w:u w:val="none"/>
                <w:lang w:val="en-US" w:eastAsia="zh-CN" w:bidi="ar"/>
              </w:rPr>
            </w:pPr>
            <w:r>
              <w:rPr>
                <w:rFonts w:hint="eastAsia" w:ascii="宋体" w:hAnsi="宋体" w:eastAsia="宋体" w:cs="Times New Roman"/>
                <w:i w:val="0"/>
                <w:iCs w:val="0"/>
                <w:color w:val="auto"/>
                <w:kern w:val="0"/>
                <w:sz w:val="16"/>
                <w:szCs w:val="16"/>
                <w:u w:val="none"/>
                <w:lang w:val="en-US" w:eastAsia="zh-CN" w:bidi="ar"/>
              </w:rPr>
              <w:t>-465,784,651.22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资产处置收益（损失以“-”号填列）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394,572,020.12</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371,247,794.02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三、营业利润（亏损以“－”号填列）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7,358,632,934.84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6,531,359,566.16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加：营业外收入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340,280,447.72</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109,835,025.86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其中：政府补助</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200,642,404.53</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14,056,853.84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减：营业外支出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136,551,405.47</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182,226,183.00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四、利润总额（亏损总额以“－”号填列）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7,562,361,977.09</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6,458,968,409.02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减：所得税费用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2,290,420,317.54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1,990,167,292.30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五、净利润（净亏损以“－”号填列）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5,271,941,659.55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4,468,801,116.72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（一）按所有权归属分类:</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归属于母公司所有者的净利润</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1,824,753,315.70</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987,493,406.85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*少数股东损益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43</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3,447,188,343.85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3,481,307,709.87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（二）按经营持续性分类:</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持续经营净利润</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5,271,941,659.55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4,468,801,116.72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终止经营净利润</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六、其他综合收益的税后净额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-285,274,456.03</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91,240,433.65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归属于母公司所有者的其他综合收益的税后净额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-150,451,931.28</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42,766,445.13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（一）不能重分类进损益的其他综合收益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-135,272,668.61</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41,761,355.62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1.重新计量设定受益计划变动额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-140,030,180.95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55,569,350.01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2.权益法下不能转损益的其他综合收益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18,261,713.86</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3.其他权益工具投资公允价值变动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-13,504,201.52</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-13,807,994.39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4.企业自身信用风险公允价值变动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53</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5.其他</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（二）将重分类进损益的其他综合收益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-15,179,262.67</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1,005,089.51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1.权益法下可转损益的其他综合收益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-1,691,048.54</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-24,151,772.05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2.其他债权投资公允价值变动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-5,405,526.30</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-965,042.71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☆3.可供出售金融资产公允价值变动损益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53,010,154.45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4.金融资产重分类计入其他综合收益的金额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☆5.持有至到期投资重分类为可供出售金融资产损益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6.其他债权投资信用减值准备</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7.现金流量套期储备（现金流量套期损益的有效部分）</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62</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8.外币财务报表折算差额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63</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-8,082,687.83</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-31,094,615.51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9.其他</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64</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4,206,365.33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*归属于少数股东的其他综合收益的税后净额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65</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-134,822,524.75</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48,473,988.52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七、综合收益总额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66</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4,986,667,203.52</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4,560,041,550.37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归属于母公司所有者的综合收益总额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67</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1,674,301,384.42</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1,030,259,851.98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*归属于少数股东的综合收益总额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68</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3,312,365,819.10</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3,529,781,698.39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auto"/>
                <w:sz w:val="16"/>
                <w:szCs w:val="16"/>
                <w:u w:val="none"/>
              </w:rPr>
            </w:pPr>
            <w:r>
              <w:rPr>
                <w:rFonts w:hint="eastAsia" w:ascii="宋体" w:hAnsi="宋体" w:eastAsia="仿宋_GB2312" w:cs="仿宋_GB2312"/>
                <w:b/>
                <w:bCs/>
                <w:i w:val="0"/>
                <w:iCs w:val="0"/>
                <w:color w:val="auto"/>
                <w:kern w:val="0"/>
                <w:sz w:val="16"/>
                <w:szCs w:val="16"/>
                <w:u w:val="none"/>
                <w:lang w:val="en-US" w:eastAsia="zh-CN" w:bidi="ar"/>
              </w:rPr>
              <w:t>八、每股收益：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69</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Times New Roman"/>
                <w:i w:val="0"/>
                <w:iCs w:val="0"/>
                <w:color w:val="auto"/>
                <w:sz w:val="16"/>
                <w:szCs w:val="16"/>
                <w:u w:val="none"/>
              </w:rPr>
            </w:pPr>
            <w:r>
              <w:rPr>
                <w:rFonts w:hint="default" w:ascii="宋体" w:hAnsi="宋体" w:eastAsia="宋体" w:cs="Times New Roman"/>
                <w:i w:val="0"/>
                <w:iCs w:val="0"/>
                <w:color w:val="auto"/>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基本每股收益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70</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auto"/>
                <w:sz w:val="16"/>
                <w:szCs w:val="16"/>
                <w:u w:val="none"/>
              </w:rPr>
            </w:pPr>
            <w:r>
              <w:rPr>
                <w:rFonts w:hint="eastAsia" w:ascii="宋体" w:hAnsi="宋体" w:eastAsia="仿宋_GB2312" w:cs="仿宋_GB2312"/>
                <w:i w:val="0"/>
                <w:iCs w:val="0"/>
                <w:color w:val="auto"/>
                <w:kern w:val="0"/>
                <w:sz w:val="16"/>
                <w:szCs w:val="16"/>
                <w:u w:val="none"/>
                <w:lang w:val="en-US" w:eastAsia="zh-CN" w:bidi="ar"/>
              </w:rPr>
              <w:t xml:space="preserve">    稀释每股收益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71</w:t>
            </w:r>
          </w:p>
        </w:tc>
        <w:tc>
          <w:tcPr>
            <w:tcW w:w="1838"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auto"/>
                <w:sz w:val="16"/>
                <w:szCs w:val="16"/>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（三）审计报告的意见类型</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山东省港口集团有限公司2021年财务决算审计的中介机构为信永中和会计师事务所(特殊普通合伙)，出具的年度报告审计意见类型为标准无保留意见。</w:t>
      </w:r>
    </w:p>
    <w:p>
      <w:pPr>
        <w:pStyle w:val="3"/>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b w:val="0"/>
          <w:bCs w:val="0"/>
          <w:color w:val="auto"/>
          <w:sz w:val="32"/>
          <w:szCs w:val="32"/>
        </w:rPr>
      </w:pPr>
      <w:r>
        <w:rPr>
          <w:rFonts w:hint="eastAsia" w:ascii="宋体" w:hAnsi="宋体" w:eastAsia="黑体"/>
          <w:b w:val="0"/>
          <w:bCs w:val="0"/>
          <w:color w:val="auto"/>
          <w:sz w:val="32"/>
          <w:szCs w:val="32"/>
        </w:rPr>
        <w:t>三、董事会报告摘要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（一）企业经营情况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1.经营情况综述</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yellow"/>
          <w:lang w:val="en-US" w:eastAsia="zh-CN"/>
        </w:rPr>
      </w:pPr>
      <w:r>
        <w:rPr>
          <w:rFonts w:ascii="宋体" w:hAnsi="宋体" w:eastAsia="仿宋_GB2312" w:cs="Times New Roman"/>
          <w:color w:val="auto"/>
          <w:sz w:val="32"/>
          <w:szCs w:val="32"/>
          <w:highlight w:val="none"/>
        </w:rPr>
        <w:t>全年实现</w:t>
      </w:r>
      <w:r>
        <w:rPr>
          <w:rFonts w:hint="eastAsia" w:ascii="宋体" w:hAnsi="宋体" w:eastAsia="仿宋_GB2312" w:cs="仿宋_GB2312"/>
          <w:color w:val="auto"/>
          <w:sz w:val="32"/>
          <w:szCs w:val="32"/>
        </w:rPr>
        <w:t>营业总收入839.83亿元，同比增加337.88亿元，增长67.31%</w:t>
      </w:r>
      <w:r>
        <w:rPr>
          <w:rFonts w:hint="eastAsia" w:ascii="宋体" w:hAnsi="宋体" w:eastAsia="仿宋_GB2312"/>
          <w:color w:val="auto"/>
          <w:sz w:val="32"/>
          <w:szCs w:val="32"/>
        </w:rPr>
        <w:t>；</w:t>
      </w:r>
      <w:r>
        <w:rPr>
          <w:rFonts w:hint="eastAsia" w:ascii="宋体" w:hAnsi="宋体" w:eastAsia="仿宋_GB2312" w:cs="仿宋_GB2312"/>
          <w:color w:val="auto"/>
          <w:sz w:val="32"/>
          <w:szCs w:val="32"/>
        </w:rPr>
        <w:t>实现</w:t>
      </w:r>
      <w:r>
        <w:rPr>
          <w:rFonts w:hint="eastAsia" w:ascii="宋体" w:hAnsi="宋体" w:eastAsia="仿宋_GB2312" w:cs="仿宋_GB2312"/>
          <w:b w:val="0"/>
          <w:bCs w:val="0"/>
          <w:color w:val="auto"/>
          <w:sz w:val="32"/>
          <w:szCs w:val="32"/>
        </w:rPr>
        <w:t>利润总额</w:t>
      </w:r>
      <w:r>
        <w:rPr>
          <w:rFonts w:hint="eastAsia" w:ascii="宋体" w:hAnsi="宋体" w:eastAsia="仿宋_GB2312" w:cs="仿宋_GB2312"/>
          <w:color w:val="auto"/>
          <w:sz w:val="32"/>
          <w:szCs w:val="32"/>
        </w:rPr>
        <w:t>75.62亿元，同比增加11.03亿元，增长17.08%</w:t>
      </w:r>
      <w:r>
        <w:rPr>
          <w:rFonts w:hint="eastAsia" w:ascii="宋体" w:hAnsi="宋体" w:eastAsia="仿宋_GB2312"/>
          <w:color w:val="auto"/>
          <w:sz w:val="32"/>
          <w:szCs w:val="32"/>
        </w:rPr>
        <w:t>；实现净利润52.7</w:t>
      </w:r>
      <w:r>
        <w:rPr>
          <w:rFonts w:hint="eastAsia" w:ascii="宋体" w:hAnsi="宋体" w:eastAsia="仿宋_GB2312"/>
          <w:color w:val="auto"/>
          <w:sz w:val="32"/>
          <w:szCs w:val="32"/>
          <w:lang w:val="en-US" w:eastAsia="zh-CN"/>
        </w:rPr>
        <w:t>2</w:t>
      </w:r>
      <w:r>
        <w:rPr>
          <w:rFonts w:hint="eastAsia" w:ascii="宋体" w:hAnsi="宋体" w:eastAsia="仿宋_GB2312"/>
          <w:color w:val="auto"/>
          <w:sz w:val="32"/>
          <w:szCs w:val="32"/>
        </w:rPr>
        <w:t>亿元，同比增加8.03亿元，增长17.97%</w:t>
      </w:r>
      <w:r>
        <w:rPr>
          <w:rFonts w:ascii="宋体" w:hAnsi="宋体"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2.资产负债情况分析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rPr>
      </w:pPr>
      <w:r>
        <w:rPr>
          <w:rFonts w:hint="eastAsia" w:ascii="宋体" w:hAnsi="宋体" w:eastAsia="仿宋_GB2312"/>
          <w:color w:val="auto"/>
          <w:sz w:val="32"/>
          <w:szCs w:val="32"/>
        </w:rPr>
        <w:t>资产总额</w:t>
      </w:r>
      <w:r>
        <w:rPr>
          <w:rFonts w:hint="eastAsia" w:ascii="宋体" w:hAnsi="宋体" w:eastAsia="仿宋_GB2312" w:cs="仿宋_GB2312"/>
          <w:color w:val="auto"/>
          <w:sz w:val="32"/>
          <w:szCs w:val="32"/>
        </w:rPr>
        <w:t>2</w:t>
      </w:r>
      <w:r>
        <w:rPr>
          <w:rFonts w:hint="eastAsia" w:ascii="宋体" w:hAnsi="宋体" w:eastAsia="仿宋_GB2312" w:cs="仿宋_GB2312"/>
          <w:color w:val="auto"/>
          <w:sz w:val="32"/>
          <w:szCs w:val="32"/>
          <w:lang w:val="en-US" w:eastAsia="zh-CN"/>
        </w:rPr>
        <w:t>,</w:t>
      </w:r>
      <w:r>
        <w:rPr>
          <w:rFonts w:hint="eastAsia" w:ascii="宋体" w:hAnsi="宋体" w:eastAsia="仿宋_GB2312" w:cs="仿宋_GB2312"/>
          <w:color w:val="auto"/>
          <w:sz w:val="32"/>
          <w:szCs w:val="32"/>
        </w:rPr>
        <w:t>319.29亿元，较年初增加171.66亿元，增长7.99%</w:t>
      </w:r>
      <w:r>
        <w:rPr>
          <w:rFonts w:hint="eastAsia" w:ascii="宋体" w:hAnsi="宋体" w:eastAsia="仿宋_GB2312"/>
          <w:color w:val="auto"/>
          <w:sz w:val="32"/>
          <w:szCs w:val="32"/>
        </w:rPr>
        <w:t>；负债总额</w:t>
      </w:r>
      <w:r>
        <w:rPr>
          <w:rFonts w:hint="eastAsia" w:ascii="宋体" w:hAnsi="宋体" w:eastAsia="仿宋_GB2312" w:cs="仿宋_GB2312"/>
          <w:color w:val="auto"/>
          <w:sz w:val="32"/>
          <w:szCs w:val="32"/>
          <w:highlight w:val="none"/>
        </w:rPr>
        <w:t>1</w:t>
      </w:r>
      <w:r>
        <w:rPr>
          <w:rFonts w:hint="eastAsia" w:ascii="宋体" w:hAnsi="宋体"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rPr>
        <w:t>310.18亿元，较年初增加138.84亿元，增长11.85%</w:t>
      </w:r>
      <w:r>
        <w:rPr>
          <w:rFonts w:hint="eastAsia" w:ascii="宋体" w:hAnsi="宋体" w:eastAsia="仿宋_GB2312"/>
          <w:color w:val="auto"/>
          <w:sz w:val="32"/>
          <w:szCs w:val="32"/>
        </w:rPr>
        <w:t>；</w:t>
      </w:r>
      <w:r>
        <w:rPr>
          <w:rFonts w:hint="eastAsia" w:ascii="宋体" w:hAnsi="宋体" w:eastAsia="仿宋_GB2312" w:cs="仿宋_GB2312"/>
          <w:color w:val="auto"/>
          <w:sz w:val="32"/>
          <w:szCs w:val="32"/>
          <w:highlight w:val="none"/>
          <w:lang w:val="en-US" w:eastAsia="zh-CN"/>
        </w:rPr>
        <w:t>资产负债率56.49%。截止2021年12月31日，存续债券余额282.56亿元（含永续票据），2021年新发行债券111亿元，归还债券93.6亿元。</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（二）企业发展情况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eastAsia="zh-CN"/>
        </w:rPr>
      </w:pPr>
      <w:r>
        <w:rPr>
          <w:rFonts w:hint="eastAsia" w:ascii="宋体" w:hAnsi="宋体" w:eastAsia="楷体_GB2312" w:cs="楷体_GB2312"/>
          <w:b w:val="0"/>
          <w:bCs w:val="0"/>
          <w:color w:val="auto"/>
          <w:sz w:val="32"/>
          <w:szCs w:val="32"/>
          <w:highlight w:val="none"/>
          <w:lang w:val="en-US" w:eastAsia="zh-CN"/>
        </w:rPr>
        <w:t>1.</w:t>
      </w:r>
      <w:r>
        <w:rPr>
          <w:rFonts w:hint="eastAsia" w:ascii="宋体" w:hAnsi="宋体" w:eastAsia="仿宋_GB2312" w:cs="仿宋_GB2312"/>
          <w:b w:val="0"/>
          <w:bCs w:val="0"/>
          <w:color w:val="auto"/>
          <w:sz w:val="32"/>
          <w:szCs w:val="32"/>
          <w:highlight w:val="none"/>
        </w:rPr>
        <w:t>主要指标量效齐增</w:t>
      </w:r>
      <w:r>
        <w:rPr>
          <w:rFonts w:hint="eastAsia" w:ascii="宋体" w:hAnsi="宋体" w:eastAsia="仿宋_GB2312" w:cs="仿宋_GB2312"/>
          <w:b w:val="0"/>
          <w:bCs w:val="0"/>
          <w:color w:val="auto"/>
          <w:sz w:val="32"/>
          <w:szCs w:val="32"/>
          <w:highlight w:val="none"/>
          <w:lang w:eastAsia="zh-CN"/>
        </w:rPr>
        <w:t>。</w:t>
      </w:r>
      <w:r>
        <w:rPr>
          <w:rFonts w:hint="eastAsia" w:ascii="宋体" w:hAnsi="宋体" w:eastAsia="仿宋_GB2312"/>
          <w:color w:val="auto"/>
          <w:sz w:val="32"/>
          <w:szCs w:val="32"/>
          <w:highlight w:val="none"/>
        </w:rPr>
        <w:t>2021年，</w:t>
      </w:r>
      <w:r>
        <w:rPr>
          <w:rFonts w:hint="eastAsia" w:ascii="宋体" w:hAnsi="宋体" w:eastAsia="仿宋_GB2312" w:cs="仿宋_GB2312"/>
          <w:color w:val="auto"/>
          <w:sz w:val="32"/>
          <w:szCs w:val="32"/>
          <w:highlight w:val="none"/>
        </w:rPr>
        <w:t>集团公司货物吞吐量突破15亿吨，集装箱量突破3400万标箱，同比分别增长6.1%、8.3%，稳居全球第一、第三位，两项指标增幅均高于全国沿海港口整体增幅</w:t>
      </w:r>
      <w:r>
        <w:rPr>
          <w:rFonts w:hint="eastAsia" w:ascii="宋体" w:hAnsi="宋体" w:eastAsia="仿宋_GB2312" w:cs="仿宋_GB2312"/>
          <w:color w:val="auto"/>
          <w:sz w:val="32"/>
          <w:szCs w:val="32"/>
          <w:highlight w:val="none"/>
          <w:lang w:eastAsia="zh-CN"/>
        </w:rPr>
        <w:t>。</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rPr>
      </w:pPr>
      <w:r>
        <w:rPr>
          <w:rFonts w:hint="eastAsia" w:ascii="宋体" w:hAnsi="宋体" w:eastAsia="仿宋_GB2312" w:cs="仿宋_GB2312"/>
          <w:b w:val="0"/>
          <w:bCs w:val="0"/>
          <w:color w:val="auto"/>
          <w:sz w:val="32"/>
          <w:szCs w:val="32"/>
          <w:highlight w:val="none"/>
          <w:lang w:val="en-US" w:eastAsia="zh-CN"/>
        </w:rPr>
        <w:t>2.</w:t>
      </w:r>
      <w:r>
        <w:rPr>
          <w:rFonts w:hint="eastAsia" w:ascii="宋体" w:hAnsi="宋体" w:eastAsia="仿宋_GB2312" w:cs="仿宋_GB2312"/>
          <w:b w:val="0"/>
          <w:bCs w:val="0"/>
          <w:color w:val="auto"/>
          <w:sz w:val="32"/>
          <w:szCs w:val="32"/>
          <w:highlight w:val="none"/>
        </w:rPr>
        <w:t>年度计划有力推进。</w:t>
      </w:r>
      <w:r>
        <w:rPr>
          <w:rFonts w:hint="eastAsia" w:ascii="宋体" w:hAnsi="宋体" w:eastAsia="仿宋_GB2312" w:cs="仿宋_GB2312"/>
          <w:color w:val="auto"/>
          <w:sz w:val="32"/>
          <w:szCs w:val="32"/>
          <w:highlight w:val="none"/>
        </w:rPr>
        <w:t>年度投资计划380.16亿元，实际完成投资总额353.14亿元，占年度投资计划的93%。2021年全年新增中长期项目贷款20.4亿元和优质企业债10亿元，全年经营现金净流入46.4亿元，同比提高14.6亿元。</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rPr>
      </w:pPr>
      <w:r>
        <w:rPr>
          <w:rFonts w:hint="eastAsia" w:ascii="宋体" w:hAnsi="宋体" w:eastAsia="仿宋_GB2312" w:cs="仿宋_GB2312"/>
          <w:b w:val="0"/>
          <w:bCs w:val="0"/>
          <w:color w:val="auto"/>
          <w:sz w:val="32"/>
          <w:szCs w:val="32"/>
          <w:highlight w:val="none"/>
          <w:lang w:val="en-US" w:eastAsia="zh-CN"/>
        </w:rPr>
        <w:t>3.</w:t>
      </w:r>
      <w:r>
        <w:rPr>
          <w:rFonts w:hint="eastAsia" w:ascii="宋体" w:hAnsi="宋体" w:eastAsia="仿宋_GB2312" w:cs="仿宋_GB2312"/>
          <w:b w:val="0"/>
          <w:bCs w:val="0"/>
          <w:color w:val="auto"/>
          <w:sz w:val="32"/>
          <w:szCs w:val="32"/>
          <w:highlight w:val="none"/>
        </w:rPr>
        <w:t>重点项目扩能增效。</w:t>
      </w:r>
      <w:r>
        <w:rPr>
          <w:rFonts w:hint="eastAsia" w:ascii="宋体" w:hAnsi="宋体" w:eastAsia="仿宋_GB2312" w:cs="仿宋_GB2312"/>
          <w:color w:val="auto"/>
          <w:sz w:val="32"/>
          <w:szCs w:val="32"/>
          <w:highlight w:val="none"/>
        </w:rPr>
        <w:t>新增码头设计年通过能力1900万吨、储油能力320万立方米、管道输送能力2650万吨，港口设施保障能力进一步提升。主要货种稳健增长，铁矿石、铝土矿、原油、粮食、木片等货种进口量全国占比最高。</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（三）国企改革三年行动完成情况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rPr>
        <w:t>坚持“一体化改革与国企改革同步探索推进”，制定《国企改革三年行动实施方案（2020-2021）》，明确31项具体改革任务并配套制定工作台账，各项任务完成进度均达到预定目标。不断完善中国特色现代企业制度</w:t>
      </w:r>
      <w:r>
        <w:rPr>
          <w:rFonts w:hint="eastAsia" w:ascii="宋体" w:hAnsi="宋体" w:eastAsia="仿宋_GB2312" w:cs="仿宋_GB2312"/>
          <w:color w:val="auto"/>
          <w:sz w:val="32"/>
          <w:szCs w:val="32"/>
          <w:highlight w:val="none"/>
          <w:lang w:eastAsia="zh-CN"/>
        </w:rPr>
        <w:t>，</w:t>
      </w:r>
      <w:r>
        <w:rPr>
          <w:rFonts w:hint="eastAsia" w:ascii="宋体" w:hAnsi="宋体" w:eastAsia="仿宋_GB2312" w:cs="仿宋_GB2312"/>
          <w:color w:val="auto"/>
          <w:sz w:val="32"/>
          <w:szCs w:val="32"/>
          <w:highlight w:val="none"/>
        </w:rPr>
        <w:t>深入推进国有经济布局优化和结构调整</w:t>
      </w:r>
      <w:r>
        <w:rPr>
          <w:rFonts w:hint="eastAsia" w:ascii="宋体" w:hAnsi="宋体" w:eastAsia="仿宋_GB2312" w:cs="仿宋_GB2312"/>
          <w:color w:val="auto"/>
          <w:sz w:val="32"/>
          <w:szCs w:val="32"/>
          <w:highlight w:val="none"/>
          <w:lang w:eastAsia="zh-CN"/>
        </w:rPr>
        <w:t>，</w:t>
      </w:r>
      <w:r>
        <w:rPr>
          <w:rFonts w:hint="eastAsia" w:ascii="宋体" w:hAnsi="宋体" w:eastAsia="仿宋_GB2312" w:cs="仿宋_GB2312"/>
          <w:color w:val="auto"/>
          <w:sz w:val="32"/>
          <w:szCs w:val="32"/>
          <w:highlight w:val="none"/>
        </w:rPr>
        <w:t>健全市场化经营机制</w:t>
      </w:r>
      <w:r>
        <w:rPr>
          <w:rFonts w:hint="eastAsia" w:ascii="宋体" w:hAnsi="宋体" w:eastAsia="仿宋_GB2312" w:cs="仿宋_GB2312"/>
          <w:color w:val="auto"/>
          <w:sz w:val="32"/>
          <w:szCs w:val="32"/>
          <w:highlight w:val="none"/>
          <w:lang w:eastAsia="zh-CN"/>
        </w:rPr>
        <w:t>，</w:t>
      </w:r>
      <w:r>
        <w:rPr>
          <w:rFonts w:hint="eastAsia" w:ascii="宋体" w:hAnsi="宋体" w:eastAsia="仿宋_GB2312" w:cs="仿宋_GB2312"/>
          <w:color w:val="auto"/>
          <w:sz w:val="32"/>
          <w:szCs w:val="32"/>
          <w:highlight w:val="none"/>
          <w:lang w:val="en-US" w:eastAsia="zh-CN"/>
        </w:rPr>
        <w:t>存在风险及未来潜力分析。</w:t>
      </w:r>
    </w:p>
    <w:p>
      <w:pPr>
        <w:pStyle w:val="4"/>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宋体" w:hAnsi="宋体" w:eastAsia="楷体_GB2312" w:cs="楷体_GB2312"/>
          <w:b w:val="0"/>
          <w:bCs w:val="0"/>
          <w:color w:val="auto"/>
          <w:kern w:val="2"/>
          <w:sz w:val="32"/>
          <w:szCs w:val="32"/>
          <w:highlight w:val="none"/>
          <w:lang w:val="en-US" w:eastAsia="zh-CN" w:bidi="ar-SA"/>
        </w:rPr>
      </w:pPr>
      <w:r>
        <w:rPr>
          <w:rFonts w:hint="eastAsia" w:ascii="宋体" w:hAnsi="宋体" w:eastAsia="楷体_GB2312" w:cs="楷体_GB2312"/>
          <w:b w:val="0"/>
          <w:bCs w:val="0"/>
          <w:color w:val="auto"/>
          <w:kern w:val="2"/>
          <w:sz w:val="32"/>
          <w:szCs w:val="32"/>
          <w:highlight w:val="none"/>
          <w:lang w:val="en-US" w:eastAsia="zh-CN" w:bidi="ar-SA"/>
        </w:rPr>
        <w:t>（四）对公司未来发展战略和面临风险的分析</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rPr>
      </w:pPr>
      <w:r>
        <w:rPr>
          <w:rFonts w:hint="eastAsia" w:ascii="宋体" w:hAnsi="宋体" w:eastAsia="仿宋_GB2312" w:cs="仿宋_GB2312"/>
          <w:b w:val="0"/>
          <w:bCs w:val="0"/>
          <w:color w:val="auto"/>
          <w:sz w:val="32"/>
          <w:szCs w:val="32"/>
          <w:highlight w:val="none"/>
          <w:lang w:val="en-US" w:eastAsia="zh-CN"/>
        </w:rPr>
        <w:t>1.存在的风险：</w:t>
      </w:r>
      <w:r>
        <w:rPr>
          <w:rFonts w:hint="eastAsia" w:ascii="宋体" w:hAnsi="宋体" w:eastAsia="仿宋_GB2312" w:cs="仿宋_GB2312"/>
          <w:color w:val="auto"/>
          <w:sz w:val="32"/>
          <w:szCs w:val="32"/>
          <w:highlight w:val="none"/>
          <w:lang w:val="en-US" w:eastAsia="zh-CN"/>
        </w:rPr>
        <w:t>一是外部经济环境不确定性带来风险，二是宏观政策变化带来的风险，三是行业结构性产能过剩带来的风险。</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b w:val="0"/>
          <w:bCs w:val="0"/>
          <w:color w:val="auto"/>
          <w:sz w:val="32"/>
          <w:szCs w:val="32"/>
          <w:highlight w:val="none"/>
          <w:lang w:val="en-US" w:eastAsia="zh-CN"/>
        </w:rPr>
        <w:t>2.未来的发展潜力：</w:t>
      </w:r>
      <w:r>
        <w:rPr>
          <w:rFonts w:hint="eastAsia" w:ascii="宋体" w:hAnsi="宋体" w:eastAsia="仿宋_GB2312" w:cs="仿宋_GB2312"/>
          <w:color w:val="auto"/>
          <w:sz w:val="32"/>
          <w:szCs w:val="32"/>
          <w:highlight w:val="none"/>
          <w:lang w:val="en-US" w:eastAsia="zh-CN"/>
        </w:rPr>
        <w:t>一是系列政策赋能叠加带来新机遇，二是新发展格局带来新机遇，三是港口一体化改革持续深入带来新机遇，四是港口转型升级发展带来新机遇。</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b w:val="0"/>
          <w:bCs w:val="0"/>
          <w:color w:val="auto"/>
          <w:sz w:val="32"/>
          <w:szCs w:val="32"/>
        </w:rPr>
      </w:pPr>
      <w:r>
        <w:rPr>
          <w:rFonts w:hint="eastAsia" w:ascii="宋体" w:hAnsi="宋体" w:eastAsia="黑体"/>
          <w:b w:val="0"/>
          <w:bCs w:val="0"/>
          <w:color w:val="auto"/>
          <w:sz w:val="32"/>
          <w:szCs w:val="32"/>
        </w:rPr>
        <w:t>四、</w:t>
      </w:r>
      <w:bookmarkStart w:id="1" w:name="_Hlk75542285"/>
      <w:r>
        <w:rPr>
          <w:rFonts w:hint="eastAsia" w:ascii="宋体" w:hAnsi="宋体" w:eastAsia="黑体"/>
          <w:b w:val="0"/>
          <w:bCs w:val="0"/>
          <w:color w:val="auto"/>
          <w:sz w:val="32"/>
          <w:szCs w:val="32"/>
        </w:rPr>
        <w:t>集团董事、监事、高级管理人员的任职</w:t>
      </w:r>
      <w:bookmarkEnd w:id="1"/>
      <w:r>
        <w:rPr>
          <w:rFonts w:hint="eastAsia" w:ascii="宋体" w:hAnsi="宋体" w:eastAsia="黑体"/>
          <w:b w:val="0"/>
          <w:bCs w:val="0"/>
          <w:color w:val="auto"/>
          <w:sz w:val="32"/>
          <w:szCs w:val="32"/>
        </w:rPr>
        <w:t>和</w:t>
      </w:r>
      <w:bookmarkStart w:id="2" w:name="_Hlk75542371"/>
      <w:r>
        <w:rPr>
          <w:rFonts w:hint="eastAsia" w:ascii="宋体" w:hAnsi="宋体" w:eastAsia="黑体"/>
          <w:b w:val="0"/>
          <w:bCs w:val="0"/>
          <w:color w:val="auto"/>
          <w:sz w:val="32"/>
          <w:szCs w:val="32"/>
        </w:rPr>
        <w:t>薪酬</w:t>
      </w:r>
      <w:bookmarkEnd w:id="2"/>
      <w:r>
        <w:rPr>
          <w:rFonts w:hint="eastAsia" w:ascii="宋体" w:hAnsi="宋体" w:eastAsia="黑体"/>
          <w:b w:val="0"/>
          <w:bCs w:val="0"/>
          <w:color w:val="auto"/>
          <w:sz w:val="32"/>
          <w:szCs w:val="32"/>
        </w:rPr>
        <w:t>情况、</w:t>
      </w:r>
      <w:bookmarkStart w:id="3" w:name="_Hlk75542454"/>
      <w:r>
        <w:rPr>
          <w:rFonts w:hint="eastAsia" w:ascii="宋体" w:hAnsi="宋体" w:eastAsia="黑体"/>
          <w:b w:val="0"/>
          <w:bCs w:val="0"/>
          <w:color w:val="auto"/>
          <w:sz w:val="32"/>
          <w:szCs w:val="32"/>
        </w:rPr>
        <w:t>经营业绩考核结果</w:t>
      </w:r>
      <w:bookmarkEnd w:id="3"/>
      <w:r>
        <w:rPr>
          <w:rFonts w:hint="eastAsia" w:ascii="宋体" w:hAnsi="宋体" w:eastAsia="黑体"/>
          <w:b w:val="0"/>
          <w:bCs w:val="0"/>
          <w:color w:val="auto"/>
          <w:sz w:val="32"/>
          <w:szCs w:val="32"/>
        </w:rPr>
        <w:t>情况、企业领导人员经济责任履职情况</w:t>
      </w:r>
    </w:p>
    <w:p>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楷体_GB2312" w:cs="楷体_GB2312"/>
          <w:color w:val="auto"/>
          <w:sz w:val="32"/>
          <w:szCs w:val="32"/>
          <w:lang w:val="en-US" w:eastAsia="zh-CN"/>
        </w:rPr>
        <w:t>（一）集团董事、监事、高级管理人员任职和薪酬情况</w:t>
      </w:r>
    </w:p>
    <w:p>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企业负责人报告期内薪酬尚未核定，待核定后及时公开。</w:t>
      </w:r>
    </w:p>
    <w:p>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color w:val="auto"/>
          <w:sz w:val="32"/>
          <w:szCs w:val="32"/>
          <w:lang w:val="en-US" w:eastAsia="zh-CN"/>
        </w:rPr>
        <w:t>（二）经营业绩考核结果情况</w:t>
      </w:r>
    </w:p>
    <w:p>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省国资委对省管企业负责人2021年度绩效考核正在进行中，待批复后及时公开。</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黑体" w:cs="Times New Roman"/>
          <w:color w:val="auto"/>
          <w:sz w:val="32"/>
          <w:szCs w:val="32"/>
          <w:highlight w:val="none"/>
          <w:lang w:val="en-US" w:eastAsia="zh-CN"/>
        </w:rPr>
      </w:pPr>
      <w:r>
        <w:rPr>
          <w:rFonts w:hint="eastAsia" w:ascii="宋体" w:hAnsi="宋体" w:eastAsia="黑体" w:cs="Times New Roman"/>
          <w:color w:val="auto"/>
          <w:sz w:val="32"/>
          <w:szCs w:val="32"/>
          <w:highlight w:val="none"/>
          <w:lang w:val="en-US" w:eastAsia="zh-CN"/>
        </w:rPr>
        <w:t>五、政府扶持政策的信息</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 xml:space="preserve">报告期内，山东省港口集团及其子公司其他收益中列示的财政补贴、奖励资金等共计1.75亿元，营业外收入中列示的政府补助为2.01亿元。 </w:t>
      </w:r>
    </w:p>
    <w:p>
      <w:pPr>
        <w:pageBreakBefore w:val="0"/>
        <w:numPr>
          <w:ilvl w:val="0"/>
          <w:numId w:val="2"/>
        </w:numPr>
        <w:kinsoku/>
        <w:wordWrap/>
        <w:overflowPunct/>
        <w:topLinePunct w:val="0"/>
        <w:autoSpaceDE/>
        <w:autoSpaceDN/>
        <w:bidi w:val="0"/>
        <w:spacing w:line="560" w:lineRule="exact"/>
        <w:ind w:firstLine="640" w:firstLineChars="200"/>
        <w:textAlignment w:val="auto"/>
        <w:rPr>
          <w:rFonts w:hint="eastAsia" w:ascii="宋体" w:hAnsi="宋体" w:eastAsia="黑体" w:cs="Times New Roman"/>
          <w:color w:val="auto"/>
          <w:sz w:val="32"/>
          <w:szCs w:val="32"/>
          <w:highlight w:val="none"/>
          <w:lang w:val="en-US" w:eastAsia="zh-CN"/>
        </w:rPr>
      </w:pPr>
      <w:r>
        <w:rPr>
          <w:rFonts w:hint="eastAsia" w:ascii="宋体" w:hAnsi="宋体" w:eastAsia="黑体" w:cs="Times New Roman"/>
          <w:color w:val="auto"/>
          <w:sz w:val="32"/>
          <w:szCs w:val="32"/>
          <w:highlight w:val="none"/>
          <w:lang w:val="en-US" w:eastAsia="zh-CN"/>
        </w:rPr>
        <w:t>重要事项</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rPr>
      </w:pPr>
      <w:r>
        <w:rPr>
          <w:rFonts w:hint="eastAsia" w:ascii="宋体" w:hAnsi="宋体" w:eastAsia="楷体_GB2312" w:cs="楷体_GB2312"/>
          <w:color w:val="auto"/>
          <w:sz w:val="32"/>
          <w:szCs w:val="32"/>
        </w:rPr>
        <w:t>（</w:t>
      </w:r>
      <w:r>
        <w:rPr>
          <w:rFonts w:hint="eastAsia" w:ascii="宋体" w:hAnsi="宋体" w:eastAsia="楷体_GB2312" w:cs="楷体_GB2312"/>
          <w:color w:val="auto"/>
          <w:sz w:val="32"/>
          <w:szCs w:val="32"/>
          <w:lang w:val="en-US" w:eastAsia="zh-CN"/>
        </w:rPr>
        <w:t>一</w:t>
      </w:r>
      <w:r>
        <w:rPr>
          <w:rFonts w:hint="eastAsia" w:ascii="宋体" w:hAnsi="宋体" w:eastAsia="楷体_GB2312" w:cs="楷体_GB2312"/>
          <w:color w:val="auto"/>
          <w:sz w:val="32"/>
          <w:szCs w:val="32"/>
        </w:rPr>
        <w:t xml:space="preserve">）报告期内发生的重大事项及对企业的影响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lang w:val="en-US" w:eastAsia="zh-CN"/>
        </w:rPr>
        <w:t>无</w:t>
      </w:r>
      <w:r>
        <w:rPr>
          <w:rFonts w:ascii="宋体" w:hAnsi="宋体" w:eastAsia="仿宋_GB2312" w:cs="仿宋_GB2312"/>
          <w:color w:val="auto"/>
          <w:sz w:val="32"/>
          <w:szCs w:val="32"/>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“三重一大”有关事项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1.有关重大决策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yellow"/>
        </w:rPr>
      </w:pPr>
      <w:r>
        <w:rPr>
          <w:rFonts w:hint="eastAsia" w:ascii="宋体" w:hAnsi="宋体" w:eastAsia="仿宋_GB2312" w:cs="仿宋_GB2312"/>
          <w:color w:val="auto"/>
          <w:sz w:val="32"/>
          <w:szCs w:val="32"/>
        </w:rPr>
        <w:t>集团重大决策事项，均通过召开党委常委会、董事会会议、总经理办公会等集体研究决定。202</w:t>
      </w:r>
      <w:r>
        <w:rPr>
          <w:rFonts w:hint="eastAsia" w:ascii="宋体" w:hAnsi="宋体" w:eastAsia="仿宋_GB2312" w:cs="仿宋_GB2312"/>
          <w:color w:val="auto"/>
          <w:sz w:val="32"/>
          <w:szCs w:val="32"/>
          <w:lang w:val="en-US" w:eastAsia="zh-CN"/>
        </w:rPr>
        <w:t>1</w:t>
      </w:r>
      <w:r>
        <w:rPr>
          <w:rFonts w:hint="eastAsia" w:ascii="宋体" w:hAnsi="宋体" w:eastAsia="仿宋_GB2312" w:cs="仿宋_GB2312"/>
          <w:color w:val="auto"/>
          <w:sz w:val="32"/>
          <w:szCs w:val="32"/>
        </w:rPr>
        <w:t>年，召开党委常委</w:t>
      </w:r>
      <w:r>
        <w:rPr>
          <w:rFonts w:hint="eastAsia" w:ascii="宋体" w:hAnsi="宋体" w:eastAsia="仿宋_GB2312" w:cs="仿宋_GB2312"/>
          <w:color w:val="auto"/>
          <w:sz w:val="32"/>
          <w:szCs w:val="32"/>
          <w:lang w:val="en-US" w:eastAsia="zh-CN"/>
        </w:rPr>
        <w:t>会53</w:t>
      </w:r>
      <w:r>
        <w:rPr>
          <w:rFonts w:hint="eastAsia" w:ascii="宋体" w:hAnsi="宋体" w:eastAsia="仿宋_GB2312" w:cs="仿宋_GB2312"/>
          <w:color w:val="auto"/>
          <w:sz w:val="32"/>
          <w:szCs w:val="32"/>
        </w:rPr>
        <w:t>次</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rPr>
        <w:t>召开董事会会议</w:t>
      </w:r>
      <w:r>
        <w:rPr>
          <w:rFonts w:hint="eastAsia" w:ascii="宋体" w:hAnsi="宋体" w:eastAsia="仿宋_GB2312" w:cs="仿宋_GB2312"/>
          <w:color w:val="auto"/>
          <w:sz w:val="32"/>
          <w:szCs w:val="32"/>
          <w:lang w:val="en-US" w:eastAsia="zh-CN"/>
        </w:rPr>
        <w:t>26</w:t>
      </w:r>
      <w:r>
        <w:rPr>
          <w:rFonts w:hint="eastAsia" w:ascii="宋体" w:hAnsi="宋体" w:eastAsia="仿宋_GB2312" w:cs="仿宋_GB2312"/>
          <w:color w:val="auto"/>
          <w:sz w:val="32"/>
          <w:szCs w:val="32"/>
        </w:rPr>
        <w:t>次，召开总经理办公会</w:t>
      </w:r>
      <w:r>
        <w:rPr>
          <w:rFonts w:hint="eastAsia" w:ascii="宋体" w:hAnsi="宋体" w:eastAsia="仿宋_GB2312" w:cs="仿宋_GB2312"/>
          <w:color w:val="auto"/>
          <w:sz w:val="32"/>
          <w:szCs w:val="32"/>
          <w:lang w:val="en-US" w:eastAsia="zh-CN"/>
        </w:rPr>
        <w:t>9</w:t>
      </w:r>
      <w:r>
        <w:rPr>
          <w:rFonts w:hint="eastAsia" w:ascii="宋体" w:hAnsi="宋体" w:eastAsia="仿宋_GB2312" w:cs="仿宋_GB2312"/>
          <w:color w:val="auto"/>
          <w:sz w:val="32"/>
          <w:szCs w:val="32"/>
        </w:rPr>
        <w:t>次，</w:t>
      </w:r>
      <w:r>
        <w:rPr>
          <w:rFonts w:hint="eastAsia" w:ascii="宋体" w:hAnsi="宋体" w:eastAsia="仿宋_GB2312" w:cs="仿宋_GB2312"/>
          <w:color w:val="auto"/>
          <w:sz w:val="32"/>
          <w:szCs w:val="32"/>
          <w:lang w:val="en-US" w:eastAsia="zh-CN"/>
        </w:rPr>
        <w:t>共</w:t>
      </w:r>
      <w:r>
        <w:rPr>
          <w:rFonts w:hint="eastAsia" w:ascii="宋体" w:hAnsi="宋体" w:eastAsia="仿宋_GB2312" w:cs="仿宋_GB2312"/>
          <w:color w:val="auto"/>
          <w:sz w:val="32"/>
          <w:szCs w:val="32"/>
        </w:rPr>
        <w:t>研究议题</w:t>
      </w:r>
      <w:r>
        <w:rPr>
          <w:rFonts w:hint="eastAsia" w:ascii="宋体" w:hAnsi="宋体" w:eastAsia="仿宋_GB2312" w:cs="仿宋_GB2312"/>
          <w:color w:val="auto"/>
          <w:sz w:val="32"/>
          <w:szCs w:val="32"/>
          <w:lang w:val="en-US" w:eastAsia="zh-CN"/>
        </w:rPr>
        <w:t>639</w:t>
      </w:r>
      <w:r>
        <w:rPr>
          <w:rFonts w:hint="eastAsia" w:ascii="宋体" w:hAnsi="宋体" w:eastAsia="仿宋_GB2312" w:cs="仿宋_GB2312"/>
          <w:color w:val="auto"/>
          <w:sz w:val="32"/>
          <w:szCs w:val="32"/>
        </w:rPr>
        <w:t>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2.有关重大人事任免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default" w:ascii="宋体" w:hAnsi="宋体" w:eastAsia="仿宋_GB2312" w:cs="仿宋_GB2312"/>
          <w:color w:val="auto"/>
          <w:sz w:val="32"/>
          <w:szCs w:val="32"/>
          <w:lang w:val="en-US" w:eastAsia="zh-CN"/>
        </w:rPr>
        <w:t>2021</w:t>
      </w:r>
      <w:r>
        <w:rPr>
          <w:rFonts w:hint="eastAsia" w:ascii="宋体" w:hAnsi="宋体" w:eastAsia="仿宋_GB2312" w:cs="仿宋_GB2312"/>
          <w:color w:val="auto"/>
          <w:sz w:val="32"/>
          <w:szCs w:val="32"/>
          <w:lang w:val="en-US" w:eastAsia="zh-CN"/>
        </w:rPr>
        <w:t>年</w:t>
      </w:r>
      <w:r>
        <w:rPr>
          <w:rFonts w:hint="default" w:ascii="宋体" w:hAnsi="宋体" w:eastAsia="仿宋_GB2312" w:cs="仿宋_GB2312"/>
          <w:color w:val="auto"/>
          <w:sz w:val="32"/>
          <w:szCs w:val="32"/>
          <w:lang w:val="en-US" w:eastAsia="zh-CN"/>
        </w:rPr>
        <w:t>5</w:t>
      </w:r>
      <w:r>
        <w:rPr>
          <w:rFonts w:hint="eastAsia" w:ascii="宋体" w:hAnsi="宋体" w:eastAsia="仿宋_GB2312" w:cs="仿宋_GB2312"/>
          <w:color w:val="auto"/>
          <w:sz w:val="32"/>
          <w:szCs w:val="32"/>
          <w:lang w:val="en-US" w:eastAsia="zh-CN"/>
        </w:rPr>
        <w:t>月，贾福宁同志任省港口集团有限公司党委常委、副总经理。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default" w:ascii="宋体" w:hAnsi="宋体" w:eastAsia="仿宋_GB2312" w:cs="仿宋_GB2312"/>
          <w:color w:val="auto"/>
          <w:sz w:val="32"/>
          <w:szCs w:val="32"/>
          <w:lang w:val="en-US" w:eastAsia="zh-CN"/>
        </w:rPr>
        <w:t>2021</w:t>
      </w:r>
      <w:r>
        <w:rPr>
          <w:rFonts w:hint="eastAsia" w:ascii="宋体" w:hAnsi="宋体" w:eastAsia="仿宋_GB2312" w:cs="仿宋_GB2312"/>
          <w:color w:val="auto"/>
          <w:sz w:val="32"/>
          <w:szCs w:val="32"/>
          <w:lang w:val="en-US" w:eastAsia="zh-CN"/>
        </w:rPr>
        <w:t>年</w:t>
      </w:r>
      <w:r>
        <w:rPr>
          <w:rFonts w:hint="default" w:ascii="宋体" w:hAnsi="宋体" w:eastAsia="仿宋_GB2312" w:cs="仿宋_GB2312"/>
          <w:color w:val="auto"/>
          <w:sz w:val="32"/>
          <w:szCs w:val="32"/>
          <w:lang w:val="en-US" w:eastAsia="zh-CN"/>
        </w:rPr>
        <w:t>6</w:t>
      </w:r>
      <w:r>
        <w:rPr>
          <w:rFonts w:hint="eastAsia" w:ascii="宋体" w:hAnsi="宋体" w:eastAsia="仿宋_GB2312" w:cs="仿宋_GB2312"/>
          <w:color w:val="auto"/>
          <w:sz w:val="32"/>
          <w:szCs w:val="32"/>
          <w:lang w:val="en-US" w:eastAsia="zh-CN"/>
        </w:rPr>
        <w:t>月，孙付春同志不再担任省港口集团有限公司党委常委、副总经理职务。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default" w:ascii="宋体" w:hAnsi="宋体" w:eastAsia="仿宋_GB2312" w:cs="仿宋_GB2312"/>
          <w:color w:val="auto"/>
          <w:sz w:val="32"/>
          <w:szCs w:val="32"/>
          <w:lang w:val="en-US" w:eastAsia="zh-CN"/>
        </w:rPr>
        <w:t>2021</w:t>
      </w:r>
      <w:r>
        <w:rPr>
          <w:rFonts w:hint="eastAsia" w:ascii="宋体" w:hAnsi="宋体" w:eastAsia="仿宋_GB2312" w:cs="仿宋_GB2312"/>
          <w:color w:val="auto"/>
          <w:sz w:val="32"/>
          <w:szCs w:val="32"/>
          <w:lang w:val="en-US" w:eastAsia="zh-CN"/>
        </w:rPr>
        <w:t>年，根据工作需要，综合运用民主推荐、公开竞聘等多种方式，调整中层管理人员</w:t>
      </w:r>
      <w:r>
        <w:rPr>
          <w:rFonts w:hint="default" w:ascii="宋体" w:hAnsi="宋体" w:eastAsia="仿宋_GB2312" w:cs="仿宋_GB2312"/>
          <w:color w:val="auto"/>
          <w:sz w:val="32"/>
          <w:szCs w:val="32"/>
          <w:lang w:val="en-US" w:eastAsia="zh-CN"/>
        </w:rPr>
        <w:t>138</w:t>
      </w:r>
      <w:r>
        <w:rPr>
          <w:rFonts w:hint="eastAsia" w:ascii="宋体" w:hAnsi="宋体" w:eastAsia="仿宋_GB2312" w:cs="仿宋_GB2312"/>
          <w:color w:val="auto"/>
          <w:sz w:val="32"/>
          <w:szCs w:val="32"/>
          <w:lang w:val="en-US" w:eastAsia="zh-CN"/>
        </w:rPr>
        <w:t>人，其中提拔、进一步使用或晋升职级</w:t>
      </w:r>
      <w:r>
        <w:rPr>
          <w:rFonts w:hint="default" w:ascii="宋体" w:hAnsi="宋体" w:eastAsia="仿宋_GB2312" w:cs="仿宋_GB2312"/>
          <w:color w:val="auto"/>
          <w:sz w:val="32"/>
          <w:szCs w:val="32"/>
          <w:lang w:val="en-US" w:eastAsia="zh-CN"/>
        </w:rPr>
        <w:t>73</w:t>
      </w:r>
      <w:r>
        <w:rPr>
          <w:rFonts w:hint="eastAsia" w:ascii="宋体" w:hAnsi="宋体" w:eastAsia="仿宋_GB2312" w:cs="仿宋_GB2312"/>
          <w:color w:val="auto"/>
          <w:sz w:val="32"/>
          <w:szCs w:val="32"/>
          <w:lang w:val="en-US" w:eastAsia="zh-CN"/>
        </w:rPr>
        <w:t>人。</w:t>
      </w:r>
    </w:p>
    <w:p>
      <w:pPr>
        <w:spacing w:line="560" w:lineRule="exact"/>
        <w:ind w:firstLine="640" w:firstLineChars="200"/>
        <w:rPr>
          <w:rFonts w:ascii="宋体" w:hAnsi="宋体" w:eastAsia="仿宋_GB2312" w:cs="仿宋_GB2312"/>
          <w:color w:val="auto"/>
          <w:sz w:val="32"/>
          <w:szCs w:val="32"/>
        </w:rPr>
      </w:pPr>
      <w:r>
        <w:rPr>
          <w:rFonts w:hint="eastAsia" w:ascii="宋体" w:hAnsi="宋体" w:eastAsia="仿宋_GB2312" w:cs="仿宋_GB2312"/>
          <w:color w:val="auto"/>
          <w:sz w:val="32"/>
          <w:szCs w:val="32"/>
        </w:rPr>
        <w:t>3.</w:t>
      </w:r>
      <w:r>
        <w:rPr>
          <w:rFonts w:hint="eastAsia" w:ascii="宋体" w:hAnsi="宋体" w:eastAsia="仿宋_GB2312" w:cs="Times New Roman"/>
          <w:color w:val="auto"/>
          <w:spacing w:val="-2"/>
          <w:sz w:val="32"/>
          <w:szCs w:val="32"/>
          <w:lang w:eastAsia="zh-Hans"/>
        </w:rPr>
        <w:t>投资情况</w:t>
      </w:r>
    </w:p>
    <w:p>
      <w:pPr>
        <w:pageBreakBefore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eastAsia="zh-Hans"/>
        </w:rPr>
        <w:t>202</w:t>
      </w:r>
      <w:r>
        <w:rPr>
          <w:rFonts w:ascii="宋体" w:hAnsi="宋体" w:eastAsia="仿宋_GB2312" w:cs="仿宋_GB2312"/>
          <w:color w:val="auto"/>
          <w:sz w:val="32"/>
          <w:szCs w:val="32"/>
          <w:highlight w:val="none"/>
          <w:lang w:eastAsia="zh-Hans"/>
        </w:rPr>
        <w:t>1</w:t>
      </w:r>
      <w:r>
        <w:rPr>
          <w:rFonts w:hint="eastAsia" w:ascii="宋体" w:hAnsi="宋体" w:eastAsia="仿宋_GB2312" w:cs="仿宋_GB2312"/>
          <w:color w:val="auto"/>
          <w:sz w:val="32"/>
          <w:szCs w:val="32"/>
          <w:highlight w:val="none"/>
          <w:lang w:eastAsia="zh-Hans"/>
        </w:rPr>
        <w:t>年，山东省港口集团全年完成总投资</w:t>
      </w:r>
      <w:r>
        <w:rPr>
          <w:rFonts w:ascii="宋体" w:hAnsi="宋体" w:eastAsia="仿宋_GB2312" w:cs="仿宋_GB2312"/>
          <w:color w:val="auto"/>
          <w:sz w:val="32"/>
          <w:szCs w:val="32"/>
          <w:highlight w:val="none"/>
          <w:lang w:eastAsia="zh-Hans"/>
        </w:rPr>
        <w:t>353.14</w:t>
      </w:r>
      <w:r>
        <w:rPr>
          <w:rFonts w:hint="eastAsia" w:ascii="宋体" w:hAnsi="宋体" w:eastAsia="仿宋_GB2312" w:cs="仿宋_GB2312"/>
          <w:color w:val="auto"/>
          <w:sz w:val="32"/>
          <w:szCs w:val="32"/>
          <w:highlight w:val="none"/>
          <w:lang w:eastAsia="zh-Hans"/>
        </w:rPr>
        <w:t>亿元，其中，完成固定资产投资</w:t>
      </w:r>
      <w:r>
        <w:rPr>
          <w:rFonts w:ascii="宋体" w:hAnsi="宋体" w:eastAsia="仿宋_GB2312" w:cs="仿宋_GB2312"/>
          <w:color w:val="auto"/>
          <w:sz w:val="32"/>
          <w:szCs w:val="32"/>
          <w:highlight w:val="none"/>
          <w:lang w:eastAsia="zh-Hans"/>
        </w:rPr>
        <w:t>255.62</w:t>
      </w:r>
      <w:r>
        <w:rPr>
          <w:rFonts w:hint="eastAsia" w:ascii="宋体" w:hAnsi="宋体" w:eastAsia="仿宋_GB2312" w:cs="仿宋_GB2312"/>
          <w:color w:val="auto"/>
          <w:sz w:val="32"/>
          <w:szCs w:val="32"/>
          <w:highlight w:val="none"/>
          <w:lang w:eastAsia="zh-Hans"/>
        </w:rPr>
        <w:t>亿元，占比</w:t>
      </w:r>
      <w:r>
        <w:rPr>
          <w:rFonts w:ascii="宋体" w:hAnsi="宋体" w:eastAsia="仿宋_GB2312" w:cs="仿宋_GB2312"/>
          <w:color w:val="auto"/>
          <w:sz w:val="32"/>
          <w:szCs w:val="32"/>
          <w:highlight w:val="none"/>
          <w:lang w:eastAsia="zh-Hans"/>
        </w:rPr>
        <w:t>72.39</w:t>
      </w:r>
      <w:r>
        <w:rPr>
          <w:rFonts w:hint="eastAsia" w:ascii="宋体" w:hAnsi="宋体" w:eastAsia="仿宋_GB2312" w:cs="仿宋_GB2312"/>
          <w:color w:val="auto"/>
          <w:sz w:val="32"/>
          <w:szCs w:val="32"/>
          <w:highlight w:val="none"/>
          <w:lang w:eastAsia="zh-Hans"/>
        </w:rPr>
        <w:t>%；完成股权投资</w:t>
      </w:r>
      <w:r>
        <w:rPr>
          <w:rFonts w:ascii="宋体" w:hAnsi="宋体" w:eastAsia="仿宋_GB2312" w:cs="仿宋_GB2312"/>
          <w:color w:val="auto"/>
          <w:sz w:val="32"/>
          <w:szCs w:val="32"/>
          <w:highlight w:val="none"/>
          <w:lang w:eastAsia="zh-Hans"/>
        </w:rPr>
        <w:t>97.52</w:t>
      </w:r>
      <w:r>
        <w:rPr>
          <w:rFonts w:hint="eastAsia" w:ascii="宋体" w:hAnsi="宋体" w:eastAsia="仿宋_GB2312" w:cs="仿宋_GB2312"/>
          <w:color w:val="auto"/>
          <w:sz w:val="32"/>
          <w:szCs w:val="32"/>
          <w:highlight w:val="none"/>
          <w:lang w:eastAsia="zh-Hans"/>
        </w:rPr>
        <w:t>亿元，占比</w:t>
      </w:r>
      <w:r>
        <w:rPr>
          <w:rFonts w:ascii="宋体" w:hAnsi="宋体" w:eastAsia="仿宋_GB2312" w:cs="仿宋_GB2312"/>
          <w:color w:val="auto"/>
          <w:sz w:val="32"/>
          <w:szCs w:val="32"/>
          <w:highlight w:val="none"/>
          <w:lang w:eastAsia="zh-Hans"/>
        </w:rPr>
        <w:t>27.61</w:t>
      </w:r>
      <w:r>
        <w:rPr>
          <w:rFonts w:hint="eastAsia" w:ascii="宋体" w:hAnsi="宋体" w:eastAsia="仿宋_GB2312" w:cs="仿宋_GB2312"/>
          <w:color w:val="auto"/>
          <w:sz w:val="32"/>
          <w:szCs w:val="32"/>
          <w:highlight w:val="none"/>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highlight w:val="none"/>
          <w:lang w:val="en-US" w:eastAsia="zh-CN"/>
        </w:rPr>
      </w:pPr>
      <w:r>
        <w:rPr>
          <w:rFonts w:hint="eastAsia" w:ascii="宋体" w:hAnsi="宋体" w:eastAsia="仿宋_GB2312" w:cs="仿宋_GB2312"/>
          <w:b w:val="0"/>
          <w:bCs w:val="0"/>
          <w:color w:val="auto"/>
          <w:sz w:val="32"/>
          <w:szCs w:val="32"/>
          <w:highlight w:val="none"/>
          <w:lang w:val="en-US" w:eastAsia="zh-CN"/>
        </w:rPr>
        <w:t>4.大额资金的调度及使用情况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本公司大额资金调度及使用严格执行“三重一大”决策程序，各权属单位根据生产经营计划和投资计划编制年度资金预算，年度资金预算经本公司董事会集体决策通过后执行。未列入年度资金预算的大额资金支付需履行预算追加手续方可付款，年度预算追加流程与编制审批流程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本公司通过资金管理平台实行资金预算的分解落实和线上管控，各权属单位每月编制月度资金预算和大额支出计划，经本公司总经理审批后执行，各单位每日编制日支出计划，经财务公司、资金结算中心审批后执行，月度预算须在年度预算内、日支出计划须在月度预算内。未列入月度预算和日支出计划的须追加预算，预算追加流程与编制审批流程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（三）重要关联交易事项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报告期内，本公司与合营及联营企业发生购买商品或接受劳务共计18.01亿元，占比2.49%；与其他关联关系方发生购买商品或接受劳务共计8.23亿元，占比1.17%。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与合营及联营企业发生销售商品或提供劳务共计16.54亿元，占比1.97%；与其他关联关系方发生销售商品或提供劳务共计9.63亿元，占比1.15%。</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b w:val="0"/>
          <w:bCs w:val="0"/>
          <w:color w:val="auto"/>
          <w:sz w:val="32"/>
          <w:szCs w:val="32"/>
        </w:rPr>
      </w:pPr>
      <w:r>
        <w:rPr>
          <w:rFonts w:hint="eastAsia" w:ascii="宋体" w:hAnsi="宋体" w:eastAsia="黑体"/>
          <w:b w:val="0"/>
          <w:bCs w:val="0"/>
          <w:color w:val="auto"/>
          <w:sz w:val="32"/>
          <w:szCs w:val="32"/>
          <w:lang w:val="en-US" w:eastAsia="zh-CN"/>
        </w:rPr>
        <w:t>七</w:t>
      </w:r>
      <w:r>
        <w:rPr>
          <w:rFonts w:hint="eastAsia" w:ascii="宋体" w:hAnsi="宋体" w:eastAsia="黑体"/>
          <w:b w:val="0"/>
          <w:bCs w:val="0"/>
          <w:color w:val="auto"/>
          <w:sz w:val="32"/>
          <w:szCs w:val="32"/>
        </w:rPr>
        <w:t>、社会责任的履行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（一）职工劳动合同的签订、履行等劳动法律法规的遵守和执行情况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2021年，山东省港口集团劳动合同签订率、鉴证率100％；全年解除劳动合同181人，全部依法依规履行相关手续。集团坚持以人为本，严格执行劳动保障法律法规，充分保障员工的劳动、休息休假、社会保险、工资待遇等合法权益，积极构建和谐稳定的劳动关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（二）人才引进、职工招聘、职工培训等人才队伍建设情况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2021年，重点对接发展急需的智慧港口、海洋智能装备、网络工程技术、医疗卫生等岗位，共引进中国工程院院士、外籍院士、外国最高学术机构会员等杰出人才11人，引进国家千人计划、长江学者等领军人才16人，自主培养及引进各层次高级人才58人，新建山东省技师工作站、智慧港口技术创新中心等省级人才平台载体4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lang w:val="en-US" w:eastAsia="zh-CN"/>
        </w:rPr>
        <w:t>围绕高质量发展对人才的要求，深化全员素质提升工程，</w:t>
      </w:r>
      <w:r>
        <w:rPr>
          <w:rFonts w:hint="eastAsia" w:ascii="宋体" w:hAnsi="宋体" w:eastAsia="仿宋_GB2312" w:cs="仿宋_GB2312"/>
          <w:color w:val="auto"/>
          <w:sz w:val="32"/>
          <w:szCs w:val="32"/>
          <w:highlight w:val="none"/>
          <w:lang w:val="en-US" w:eastAsia="zh-CN"/>
        </w:rPr>
        <w:t>省港口集团全年组织开展各类培训班4752期、培训近40万人次，全年新增中、高级职称525人，技师、高级技师268人，新考取各类职业资格证书454人。各类从业人员安全培训合格率、应持证人员持证上岗率均到达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（三）职工劳动、安全及卫生保护情况</w:t>
      </w:r>
    </w:p>
    <w:p>
      <w:pPr>
        <w:pageBreakBefore w:val="0"/>
        <w:kinsoku/>
        <w:wordWrap/>
        <w:overflowPunct/>
        <w:topLinePunct w:val="0"/>
        <w:autoSpaceDE/>
        <w:autoSpaceDN/>
        <w:bidi w:val="0"/>
        <w:spacing w:line="560" w:lineRule="exact"/>
        <w:ind w:firstLine="640"/>
        <w:textAlignment w:val="auto"/>
        <w:rPr>
          <w:rFonts w:hint="eastAsia" w:ascii="宋体" w:hAnsi="宋体" w:eastAsia="仿宋_GB2312"/>
          <w:color w:val="auto"/>
          <w:sz w:val="32"/>
          <w:szCs w:val="32"/>
        </w:rPr>
      </w:pPr>
      <w:r>
        <w:rPr>
          <w:rFonts w:hint="eastAsia" w:ascii="宋体" w:hAnsi="宋体" w:eastAsia="仿宋_GB2312"/>
          <w:color w:val="auto"/>
          <w:sz w:val="32"/>
          <w:szCs w:val="32"/>
        </w:rPr>
        <w:t>严格按照国家有关规定，落实安全生产、职业健康各项要求。强化安全生产顶层设计，编制“十四五”规划安全生产专篇，组建安全管理专家委员会，推进安全总监制度实施和交通运输安全生产信用体系建设。强化安全生产重大风险管控，编制重大风险清单，逐一制定安全管控措施，建设安全监管平台，实现重点关键部位、重点环节、重要设备设施实时监测、智能感知和风险预警。持续提升职工安全素养，定期召开安全生产现场会，强力推进“六化”管理，组织开展对标学习促提升等活动，常态化开展现场安全检查，建立典型问题周曝光、季通报机制。不断增强应急能力，举办应急救援技术大比武，常态化开展实战应急演练，持续推进应急管理体制机制改革。加强职业病危害防护设施维护使用管理，严格职业病危害现场检测，预防、控制和消除职业危害，保护职工健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bCs/>
          <w:color w:val="auto"/>
          <w:sz w:val="32"/>
          <w:szCs w:val="32"/>
          <w:lang w:val="en-US" w:eastAsia="zh-CN"/>
        </w:rPr>
      </w:pPr>
      <w:r>
        <w:rPr>
          <w:rFonts w:hint="eastAsia" w:ascii="宋体" w:hAnsi="宋体" w:eastAsia="楷体_GB2312" w:cs="楷体_GB2312"/>
          <w:color w:val="auto"/>
          <w:sz w:val="32"/>
          <w:szCs w:val="32"/>
          <w:highlight w:val="none"/>
          <w:lang w:val="en-US" w:eastAsia="zh-CN"/>
        </w:rPr>
        <w:t>（四）企业开展的环境治理及保护情况</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宋体" w:hAnsi="宋体" w:eastAsia="仿宋_GB2312" w:cs="仿宋_GB2312"/>
          <w:b/>
          <w:bCs/>
          <w:color w:val="auto"/>
          <w:kern w:val="0"/>
          <w:sz w:val="32"/>
          <w:szCs w:val="32"/>
          <w:lang w:val="en-US" w:eastAsia="zh-CN"/>
        </w:rPr>
      </w:pPr>
      <w:r>
        <w:rPr>
          <w:rFonts w:hint="eastAsia" w:ascii="宋体" w:hAnsi="宋体" w:eastAsia="仿宋_GB2312" w:cs="仿宋_GB2312"/>
          <w:b w:val="0"/>
          <w:bCs w:val="0"/>
          <w:color w:val="auto"/>
          <w:kern w:val="0"/>
          <w:sz w:val="32"/>
          <w:szCs w:val="32"/>
          <w:lang w:val="en-US" w:eastAsia="zh-CN"/>
        </w:rPr>
        <w:t>严格落实生态环保、绿色低碳相关法律法规和标准规范的要求，优化港口生产布局，落实“四减四增”行动，大力推进“公转铁”、海铁联运，推广清洁能源使用，加大环境保护投入，绿色港口建设全面起势。一是坚持规划引领，</w:t>
      </w:r>
      <w:r>
        <w:rPr>
          <w:rFonts w:hint="eastAsia" w:ascii="宋体" w:hAnsi="宋体" w:eastAsia="仿宋_GB2312"/>
          <w:color w:val="auto"/>
          <w:sz w:val="32"/>
          <w:szCs w:val="32"/>
        </w:rPr>
        <w:t>在全国</w:t>
      </w:r>
      <w:r>
        <w:rPr>
          <w:rFonts w:hint="eastAsia" w:ascii="宋体" w:hAnsi="宋体" w:eastAsia="仿宋_GB2312"/>
          <w:color w:val="auto"/>
          <w:sz w:val="32"/>
          <w:szCs w:val="32"/>
          <w:lang w:val="en-US" w:eastAsia="zh-CN"/>
        </w:rPr>
        <w:t>沿海港口</w:t>
      </w:r>
      <w:r>
        <w:rPr>
          <w:rFonts w:hint="eastAsia" w:ascii="宋体" w:hAnsi="宋体" w:eastAsia="仿宋_GB2312"/>
          <w:color w:val="auto"/>
          <w:sz w:val="32"/>
          <w:szCs w:val="32"/>
        </w:rPr>
        <w:t>率先发布</w:t>
      </w:r>
      <w:r>
        <w:rPr>
          <w:rFonts w:hint="eastAsia" w:ascii="宋体" w:hAnsi="宋体" w:eastAsia="仿宋_GB2312"/>
          <w:color w:val="auto"/>
          <w:sz w:val="32"/>
          <w:szCs w:val="32"/>
          <w:lang w:eastAsia="zh-CN"/>
        </w:rPr>
        <w:t>《</w:t>
      </w:r>
      <w:r>
        <w:rPr>
          <w:rFonts w:hint="eastAsia" w:ascii="宋体" w:hAnsi="宋体" w:eastAsia="仿宋_GB2312"/>
          <w:color w:val="auto"/>
          <w:sz w:val="32"/>
          <w:szCs w:val="32"/>
        </w:rPr>
        <w:t>绿色低碳港口“十四五”规划</w:t>
      </w:r>
      <w:r>
        <w:rPr>
          <w:rFonts w:hint="eastAsia" w:ascii="宋体" w:hAnsi="宋体" w:eastAsia="仿宋_GB2312"/>
          <w:color w:val="auto"/>
          <w:sz w:val="32"/>
          <w:szCs w:val="32"/>
          <w:lang w:eastAsia="zh-CN"/>
        </w:rPr>
        <w:t>》</w:t>
      </w:r>
      <w:r>
        <w:rPr>
          <w:rFonts w:hint="eastAsia" w:ascii="宋体" w:hAnsi="宋体" w:eastAsia="仿宋_GB2312"/>
          <w:color w:val="auto"/>
          <w:sz w:val="32"/>
          <w:szCs w:val="32"/>
        </w:rPr>
        <w:t>，做好</w:t>
      </w:r>
      <w:r>
        <w:rPr>
          <w:rFonts w:hint="eastAsia" w:ascii="宋体" w:hAnsi="宋体" w:eastAsia="仿宋_GB2312"/>
          <w:color w:val="auto"/>
          <w:sz w:val="32"/>
          <w:szCs w:val="32"/>
          <w:lang w:val="en-US" w:eastAsia="zh-CN"/>
        </w:rPr>
        <w:t>绿色发展</w:t>
      </w:r>
      <w:r>
        <w:rPr>
          <w:rFonts w:hint="eastAsia" w:ascii="宋体" w:hAnsi="宋体" w:eastAsia="仿宋_GB2312"/>
          <w:color w:val="auto"/>
          <w:sz w:val="32"/>
          <w:szCs w:val="32"/>
        </w:rPr>
        <w:t>顶层设计</w:t>
      </w:r>
      <w:r>
        <w:rPr>
          <w:rFonts w:hint="eastAsia" w:ascii="宋体" w:hAnsi="宋体" w:eastAsia="仿宋_GB2312"/>
          <w:color w:val="auto"/>
          <w:sz w:val="32"/>
          <w:szCs w:val="32"/>
          <w:lang w:eastAsia="zh-CN"/>
        </w:rPr>
        <w:t>；</w:t>
      </w:r>
      <w:r>
        <w:rPr>
          <w:rFonts w:hint="eastAsia" w:ascii="宋体" w:hAnsi="宋体" w:eastAsia="仿宋_GB2312"/>
          <w:color w:val="auto"/>
          <w:sz w:val="32"/>
          <w:szCs w:val="32"/>
          <w:lang w:val="en-US" w:eastAsia="zh-CN"/>
        </w:rPr>
        <w:t>二是强化精准治污，</w:t>
      </w:r>
      <w:r>
        <w:rPr>
          <w:rFonts w:hint="eastAsia" w:ascii="宋体" w:hAnsi="宋体" w:eastAsia="仿宋_GB2312" w:cs="仿宋_GB2312"/>
          <w:color w:val="auto"/>
          <w:kern w:val="0"/>
          <w:sz w:val="32"/>
          <w:szCs w:val="32"/>
        </w:rPr>
        <w:t>率先编制港口</w:t>
      </w:r>
      <w:r>
        <w:rPr>
          <w:rFonts w:hint="eastAsia" w:ascii="宋体" w:hAnsi="宋体" w:eastAsia="仿宋_GB2312" w:cs="仿宋_GB2312"/>
          <w:color w:val="auto"/>
          <w:kern w:val="0"/>
          <w:sz w:val="32"/>
          <w:szCs w:val="32"/>
          <w:lang w:eastAsia="zh-CN"/>
        </w:rPr>
        <w:t>《</w:t>
      </w:r>
      <w:r>
        <w:rPr>
          <w:rFonts w:hint="eastAsia" w:ascii="宋体" w:hAnsi="宋体" w:eastAsia="仿宋_GB2312" w:cs="仿宋_GB2312"/>
          <w:color w:val="auto"/>
          <w:kern w:val="0"/>
          <w:sz w:val="32"/>
          <w:szCs w:val="32"/>
        </w:rPr>
        <w:t>移动源大气污染物和温室气体排放清单</w:t>
      </w:r>
      <w:r>
        <w:rPr>
          <w:rFonts w:hint="eastAsia" w:ascii="宋体" w:hAnsi="宋体" w:eastAsia="仿宋_GB2312" w:cs="仿宋_GB2312"/>
          <w:color w:val="auto"/>
          <w:kern w:val="0"/>
          <w:sz w:val="32"/>
          <w:szCs w:val="32"/>
          <w:lang w:eastAsia="zh-CN"/>
        </w:rPr>
        <w:t>》</w:t>
      </w:r>
      <w:r>
        <w:rPr>
          <w:rFonts w:hint="eastAsia" w:ascii="宋体" w:hAnsi="宋体" w:eastAsia="仿宋_GB2312" w:cs="仿宋_GB2312"/>
          <w:color w:val="auto"/>
          <w:kern w:val="0"/>
          <w:sz w:val="32"/>
          <w:szCs w:val="32"/>
        </w:rPr>
        <w:t>，科学评估、系统展示</w:t>
      </w:r>
      <w:r>
        <w:rPr>
          <w:rFonts w:hint="eastAsia" w:ascii="宋体" w:hAnsi="宋体" w:eastAsia="仿宋_GB2312" w:cs="仿宋_GB2312"/>
          <w:color w:val="auto"/>
          <w:kern w:val="0"/>
          <w:sz w:val="32"/>
          <w:szCs w:val="32"/>
          <w:lang w:val="en-US" w:eastAsia="zh-CN"/>
        </w:rPr>
        <w:t>绿色低碳</w:t>
      </w:r>
      <w:r>
        <w:rPr>
          <w:rFonts w:hint="eastAsia" w:ascii="宋体" w:hAnsi="宋体" w:eastAsia="仿宋_GB2312" w:cs="仿宋_GB2312"/>
          <w:color w:val="auto"/>
          <w:kern w:val="0"/>
          <w:sz w:val="32"/>
          <w:szCs w:val="32"/>
        </w:rPr>
        <w:t>成效</w:t>
      </w:r>
      <w:r>
        <w:rPr>
          <w:rFonts w:hint="eastAsia" w:ascii="宋体" w:hAnsi="宋体" w:eastAsia="仿宋_GB2312" w:cs="仿宋_GB2312"/>
          <w:color w:val="auto"/>
          <w:kern w:val="0"/>
          <w:sz w:val="32"/>
          <w:szCs w:val="32"/>
          <w:lang w:eastAsia="zh-CN"/>
        </w:rPr>
        <w:t>，</w:t>
      </w:r>
      <w:r>
        <w:rPr>
          <w:rFonts w:hint="eastAsia" w:ascii="宋体" w:hAnsi="宋体" w:eastAsia="仿宋_GB2312" w:cs="仿宋_GB2312"/>
          <w:color w:val="auto"/>
          <w:kern w:val="0"/>
          <w:sz w:val="32"/>
          <w:szCs w:val="32"/>
          <w:lang w:val="en-US" w:eastAsia="zh-CN"/>
        </w:rPr>
        <w:t>开启港口精准施策、减污降碳的新篇章；三是改善用能结构，</w:t>
      </w:r>
      <w:r>
        <w:rPr>
          <w:rFonts w:hint="eastAsia" w:ascii="宋体" w:hAnsi="宋体" w:eastAsia="仿宋_GB2312" w:cs="仿宋_GB2312"/>
          <w:color w:val="auto"/>
          <w:kern w:val="0"/>
          <w:sz w:val="32"/>
          <w:szCs w:val="32"/>
        </w:rPr>
        <w:t>围绕“双碳”目标，不断扩大电能、太阳能、LNG、氢能等新能源和清洁能源的研究和应用</w:t>
      </w:r>
      <w:r>
        <w:rPr>
          <w:rFonts w:hint="eastAsia" w:ascii="宋体" w:hAnsi="宋体" w:eastAsia="仿宋_GB2312" w:cs="仿宋_GB2312"/>
          <w:color w:val="auto"/>
          <w:kern w:val="0"/>
          <w:sz w:val="32"/>
          <w:szCs w:val="32"/>
          <w:lang w:eastAsia="zh-CN"/>
        </w:rPr>
        <w:t>，</w:t>
      </w:r>
      <w:r>
        <w:rPr>
          <w:rFonts w:hint="eastAsia" w:ascii="宋体" w:hAnsi="宋体" w:eastAsia="仿宋_GB2312" w:cs="仿宋_GB2312"/>
          <w:color w:val="auto"/>
          <w:kern w:val="0"/>
          <w:sz w:val="32"/>
          <w:szCs w:val="32"/>
          <w:lang w:val="en-US" w:eastAsia="zh-CN"/>
        </w:rPr>
        <w:t>建成了全国沿海港区首座加氢站、集卡智能换电站，2021年港区清洁用能占比达到55.2%；</w:t>
      </w:r>
      <w:r>
        <w:rPr>
          <w:rFonts w:hint="eastAsia" w:ascii="宋体" w:hAnsi="宋体" w:eastAsia="仿宋_GB2312"/>
          <w:color w:val="auto"/>
          <w:sz w:val="32"/>
          <w:szCs w:val="32"/>
          <w:lang w:val="en-US" w:eastAsia="zh-CN"/>
        </w:rPr>
        <w:t>四是助力优化集疏运结构，自行建设2000多公里原油管线，2021年管道运输完成1.9亿吨，占油品吞吐量的73%以上；</w:t>
      </w:r>
      <w:r>
        <w:rPr>
          <w:rFonts w:hint="eastAsia" w:ascii="宋体" w:hAnsi="宋体" w:eastAsia="仿宋_GB2312" w:cs="仿宋_GB2312"/>
          <w:color w:val="auto"/>
          <w:kern w:val="0"/>
          <w:sz w:val="32"/>
          <w:szCs w:val="32"/>
          <w:lang w:val="en-US" w:eastAsia="zh-CN"/>
        </w:rPr>
        <w:t>五是强化科技赋能，投资2000多万元</w:t>
      </w:r>
      <w:r>
        <w:rPr>
          <w:rFonts w:hint="eastAsia" w:ascii="宋体" w:hAnsi="宋体" w:eastAsia="仿宋_GB2312"/>
          <w:color w:val="auto"/>
          <w:sz w:val="32"/>
          <w:szCs w:val="32"/>
          <w:lang w:val="en-US" w:eastAsia="zh-CN"/>
        </w:rPr>
        <w:t>建成</w:t>
      </w:r>
      <w:r>
        <w:rPr>
          <w:rFonts w:hint="eastAsia" w:ascii="宋体" w:hAnsi="宋体" w:eastAsia="仿宋_GB2312"/>
          <w:color w:val="auto"/>
          <w:sz w:val="32"/>
          <w:szCs w:val="32"/>
        </w:rPr>
        <w:t>了全国沿海港口首个跨区域、多港区联动的大气环境智慧管控平台</w:t>
      </w:r>
      <w:r>
        <w:rPr>
          <w:rFonts w:hint="eastAsia" w:ascii="宋体" w:hAnsi="宋体" w:eastAsia="仿宋_GB2312"/>
          <w:color w:val="auto"/>
          <w:sz w:val="32"/>
          <w:szCs w:val="32"/>
          <w:lang w:eastAsia="zh-CN"/>
        </w:rPr>
        <w:t>，</w:t>
      </w:r>
      <w:r>
        <w:rPr>
          <w:rFonts w:hint="eastAsia" w:ascii="宋体" w:hAnsi="宋体" w:eastAsia="仿宋_GB2312"/>
          <w:color w:val="auto"/>
          <w:sz w:val="32"/>
          <w:szCs w:val="32"/>
        </w:rPr>
        <w:t>实现</w:t>
      </w:r>
      <w:r>
        <w:rPr>
          <w:rFonts w:hint="eastAsia" w:ascii="宋体" w:hAnsi="宋体" w:eastAsia="仿宋_GB2312"/>
          <w:color w:val="auto"/>
          <w:sz w:val="32"/>
          <w:szCs w:val="32"/>
          <w:lang w:val="en-US" w:eastAsia="zh-CN"/>
        </w:rPr>
        <w:t>港区</w:t>
      </w:r>
      <w:r>
        <w:rPr>
          <w:rFonts w:hint="eastAsia" w:ascii="宋体" w:hAnsi="宋体" w:eastAsia="仿宋_GB2312"/>
          <w:color w:val="auto"/>
          <w:sz w:val="32"/>
          <w:szCs w:val="32"/>
        </w:rPr>
        <w:t>大气</w:t>
      </w:r>
      <w:r>
        <w:rPr>
          <w:rFonts w:hint="eastAsia" w:ascii="宋体" w:hAnsi="宋体" w:eastAsia="仿宋_GB2312"/>
          <w:color w:val="auto"/>
          <w:sz w:val="32"/>
          <w:szCs w:val="32"/>
          <w:lang w:val="en-US" w:eastAsia="zh-CN"/>
        </w:rPr>
        <w:t>环境的</w:t>
      </w:r>
      <w:r>
        <w:rPr>
          <w:rFonts w:hint="eastAsia" w:ascii="宋体" w:hAnsi="宋体" w:eastAsia="仿宋_GB2312"/>
          <w:color w:val="auto"/>
          <w:sz w:val="32"/>
          <w:szCs w:val="32"/>
        </w:rPr>
        <w:t>实时监测</w:t>
      </w:r>
      <w:r>
        <w:rPr>
          <w:rFonts w:hint="eastAsia" w:ascii="宋体" w:hAnsi="宋体" w:eastAsia="仿宋_GB2312"/>
          <w:color w:val="auto"/>
          <w:sz w:val="32"/>
          <w:szCs w:val="32"/>
          <w:lang w:val="en-US" w:eastAsia="zh-CN"/>
        </w:rPr>
        <w:t>和</w:t>
      </w:r>
      <w:r>
        <w:rPr>
          <w:rFonts w:hint="eastAsia" w:ascii="宋体" w:hAnsi="宋体" w:eastAsia="仿宋_GB2312"/>
          <w:color w:val="auto"/>
          <w:sz w:val="32"/>
          <w:szCs w:val="32"/>
        </w:rPr>
        <w:t>预警预报</w:t>
      </w:r>
      <w:r>
        <w:rPr>
          <w:rFonts w:hint="eastAsia" w:ascii="宋体" w:hAnsi="宋体" w:eastAsia="仿宋_GB2312"/>
          <w:color w:val="auto"/>
          <w:sz w:val="32"/>
          <w:szCs w:val="32"/>
          <w:lang w:eastAsia="zh-CN"/>
        </w:rPr>
        <w:t>，</w:t>
      </w:r>
      <w:r>
        <w:rPr>
          <w:rFonts w:hint="eastAsia" w:ascii="宋体" w:hAnsi="宋体" w:eastAsia="仿宋_GB2312"/>
          <w:color w:val="auto"/>
          <w:sz w:val="32"/>
          <w:szCs w:val="32"/>
          <w:lang w:val="en-US" w:eastAsia="zh-CN"/>
        </w:rPr>
        <w:t>进一步提高港区环境精准管控水平</w:t>
      </w:r>
      <w:r>
        <w:rPr>
          <w:rFonts w:hint="eastAsia" w:ascii="宋体" w:hAnsi="宋体" w:eastAsia="仿宋_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（五）企业提供安全的产品和服务，遵守商业道德情况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严格遵守安全、环保等方面的法律法规，恪守以诚信经营为核心的商业道德规范，为广大客户积极提供安全的服务，具有社会认可的良好的商业道德。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（六）对外大额捐赠、赞助情况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2021年，集团公司累计对外捐赠377.07万元，均为响应国家、省委省政府及慈善组织号召进行的捐款，主要包括：集团公司向山东省妇女儿童发展基金会捐赠100万元，山东港口青岛港向山东省公安民警优抚基金会青岛优抚专项基金捐赠100万元，其他权属单位扶贫性和公益性捐赠177.07万元。</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b w:val="0"/>
          <w:bCs w:val="0"/>
          <w:color w:val="auto"/>
          <w:sz w:val="32"/>
          <w:szCs w:val="32"/>
        </w:rPr>
      </w:pPr>
      <w:r>
        <w:rPr>
          <w:rFonts w:hint="eastAsia" w:ascii="宋体" w:hAnsi="宋体" w:eastAsia="黑体"/>
          <w:b w:val="0"/>
          <w:bCs w:val="0"/>
          <w:color w:val="auto"/>
          <w:sz w:val="32"/>
          <w:szCs w:val="32"/>
          <w:lang w:val="en-US" w:eastAsia="zh-CN"/>
        </w:rPr>
        <w:t>八</w:t>
      </w:r>
      <w:r>
        <w:rPr>
          <w:rFonts w:hint="eastAsia" w:ascii="宋体" w:hAnsi="宋体" w:eastAsia="黑体"/>
          <w:b w:val="0"/>
          <w:bCs w:val="0"/>
          <w:color w:val="auto"/>
          <w:sz w:val="32"/>
          <w:szCs w:val="32"/>
        </w:rPr>
        <w:t>、履职待遇及有关业务支出情况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lang w:val="en-US" w:eastAsia="zh-CN"/>
        </w:rPr>
        <w:t>2021年度，企业负责人（含外部董事）交通补贴共计11.23万元</w:t>
      </w:r>
      <w:bookmarkStart w:id="4" w:name="_GoBack"/>
      <w:bookmarkEnd w:id="4"/>
      <w:r>
        <w:rPr>
          <w:rFonts w:hint="eastAsia" w:ascii="宋体" w:hAnsi="宋体" w:eastAsia="仿宋_GB2312" w:cs="仿宋_GB2312"/>
          <w:color w:val="auto"/>
          <w:sz w:val="32"/>
          <w:szCs w:val="32"/>
          <w:lang w:val="en-US" w:eastAsia="zh-CN"/>
        </w:rPr>
        <w:t>。</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cs="Times New Roman"/>
          <w:b w:val="0"/>
          <w:bCs w:val="0"/>
          <w:color w:val="auto"/>
          <w:sz w:val="32"/>
          <w:szCs w:val="32"/>
          <w:lang w:val="en-US" w:eastAsia="zh-CN"/>
        </w:rPr>
      </w:pPr>
      <w:r>
        <w:rPr>
          <w:rFonts w:hint="eastAsia" w:ascii="宋体" w:hAnsi="宋体" w:eastAsia="黑体" w:cs="Times New Roman"/>
          <w:b w:val="0"/>
          <w:bCs w:val="0"/>
          <w:color w:val="auto"/>
          <w:sz w:val="32"/>
          <w:szCs w:val="32"/>
          <w:lang w:val="en-US" w:eastAsia="zh-CN"/>
        </w:rPr>
        <w:t>九、内部控制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Hans"/>
        </w:rPr>
      </w:pPr>
      <w:r>
        <w:rPr>
          <w:rFonts w:hint="eastAsia" w:ascii="宋体" w:hAnsi="宋体" w:eastAsia="楷体_GB2312" w:cs="楷体_GB2312"/>
          <w:color w:val="auto"/>
          <w:sz w:val="32"/>
          <w:szCs w:val="32"/>
          <w:highlight w:val="none"/>
          <w:lang w:val="en-US" w:eastAsia="zh-CN"/>
        </w:rPr>
        <w:t>（一）</w:t>
      </w:r>
      <w:r>
        <w:rPr>
          <w:rFonts w:hint="eastAsia" w:ascii="宋体" w:hAnsi="宋体" w:eastAsia="楷体_GB2312" w:cs="楷体_GB2312"/>
          <w:color w:val="auto"/>
          <w:sz w:val="32"/>
          <w:szCs w:val="32"/>
          <w:highlight w:val="none"/>
          <w:lang w:val="en-US" w:eastAsia="zh-Hans"/>
        </w:rPr>
        <w:t>内部控制责任声明</w:t>
      </w:r>
    </w:p>
    <w:p>
      <w:pPr>
        <w:pageBreakBefore w:val="0"/>
        <w:kinsoku/>
        <w:wordWrap/>
        <w:overflowPunct/>
        <w:topLinePunct w:val="0"/>
        <w:autoSpaceDE/>
        <w:autoSpaceDN/>
        <w:bidi w:val="0"/>
        <w:spacing w:line="560" w:lineRule="exact"/>
        <w:ind w:left="0" w:leftChars="0" w:firstLine="640" w:firstLineChars="200"/>
        <w:textAlignment w:val="auto"/>
        <w:rPr>
          <w:rFonts w:hint="eastAsia" w:ascii="宋体" w:hAnsi="宋体" w:eastAsia="仿宋_GB2312" w:cs="宋体"/>
          <w:color w:val="auto"/>
          <w:sz w:val="32"/>
          <w:szCs w:val="32"/>
          <w:lang w:eastAsia="zh-Hans"/>
        </w:rPr>
      </w:pPr>
      <w:r>
        <w:rPr>
          <w:rFonts w:hint="eastAsia" w:ascii="宋体" w:hAnsi="宋体" w:eastAsia="仿宋_GB2312" w:cs="宋体"/>
          <w:color w:val="auto"/>
          <w:sz w:val="32"/>
          <w:szCs w:val="32"/>
          <w:lang w:eastAsia="zh-Hans"/>
        </w:rPr>
        <w:t>集团董事会对建立健全和有效实施内部控制负责。内部控制的目标是合理保证经营管理合法合规、资产安全、财务报告及相关信息真实完整，提高经营效率和效果，促进实现发展战略。由于内部控制存在的固有局限性，仅能为实现上述目标提供合理保证。集团已建立较为全面的内部控制及规范体系，管理进一步制度化、规范化。报告期内，集团董事会认真履行内部控制建立健全和有效实施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Hans"/>
        </w:rPr>
      </w:pPr>
      <w:r>
        <w:rPr>
          <w:rFonts w:hint="eastAsia" w:ascii="宋体" w:hAnsi="宋体" w:eastAsia="楷体_GB2312" w:cs="楷体_GB2312"/>
          <w:color w:val="auto"/>
          <w:sz w:val="32"/>
          <w:szCs w:val="32"/>
          <w:highlight w:val="none"/>
          <w:lang w:val="en-US" w:eastAsia="zh-CN"/>
        </w:rPr>
        <w:t>（二）</w:t>
      </w:r>
      <w:r>
        <w:rPr>
          <w:rFonts w:hint="eastAsia" w:ascii="宋体" w:hAnsi="宋体" w:eastAsia="楷体_GB2312" w:cs="楷体_GB2312"/>
          <w:color w:val="auto"/>
          <w:sz w:val="32"/>
          <w:szCs w:val="32"/>
          <w:highlight w:val="none"/>
          <w:lang w:val="en-US" w:eastAsia="zh-Hans"/>
        </w:rPr>
        <w:t>内部控制制度建设情况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宋体"/>
          <w:color w:val="auto"/>
          <w:sz w:val="32"/>
          <w:szCs w:val="32"/>
          <w:lang w:eastAsia="zh-Hans"/>
        </w:rPr>
      </w:pPr>
      <w:r>
        <w:rPr>
          <w:rFonts w:hint="eastAsia" w:ascii="宋体" w:hAnsi="宋体" w:eastAsia="仿宋_GB2312" w:cs="宋体"/>
          <w:color w:val="auto"/>
          <w:sz w:val="32"/>
          <w:szCs w:val="32"/>
          <w:lang w:eastAsia="zh-Hans"/>
        </w:rPr>
        <w:t>集团严格按照《企业内部控制基本规范》《企业内部控制应用指引》《企业内部控制评价指引》的规定，规范完善了企业组织架构、发展战略、人力资源、社会责任、企业文化、风险</w:t>
      </w:r>
      <w:r>
        <w:rPr>
          <w:rFonts w:hint="eastAsia" w:ascii="宋体" w:hAnsi="宋体" w:eastAsia="仿宋_GB2312" w:cs="宋体"/>
          <w:color w:val="auto"/>
          <w:sz w:val="32"/>
          <w:szCs w:val="32"/>
          <w:lang w:eastAsia="zh-CN"/>
        </w:rPr>
        <w:t>控制</w:t>
      </w:r>
      <w:r>
        <w:rPr>
          <w:rFonts w:hint="eastAsia" w:ascii="宋体" w:hAnsi="宋体" w:eastAsia="仿宋_GB2312" w:cs="宋体"/>
          <w:color w:val="auto"/>
          <w:sz w:val="32"/>
          <w:szCs w:val="32"/>
          <w:lang w:eastAsia="zh-Hans"/>
        </w:rPr>
        <w:t>、资金活动、采购业务、资产管理、工程项目、财务报告、全面预算、合同管理、信息与沟通等</w:t>
      </w:r>
      <w:r>
        <w:rPr>
          <w:rFonts w:hint="eastAsia" w:ascii="宋体" w:hAnsi="宋体" w:eastAsia="仿宋_GB2312" w:cs="宋体"/>
          <w:color w:val="auto"/>
          <w:sz w:val="32"/>
          <w:szCs w:val="32"/>
          <w:lang w:eastAsia="zh-CN"/>
        </w:rPr>
        <w:t>一百</w:t>
      </w:r>
      <w:r>
        <w:rPr>
          <w:rFonts w:hint="eastAsia" w:ascii="宋体" w:hAnsi="宋体" w:eastAsia="仿宋_GB2312" w:cs="宋体"/>
          <w:color w:val="auto"/>
          <w:sz w:val="32"/>
          <w:szCs w:val="32"/>
          <w:lang w:val="en-US" w:eastAsia="zh-CN"/>
        </w:rPr>
        <w:t>八十</w:t>
      </w:r>
      <w:r>
        <w:rPr>
          <w:rFonts w:hint="eastAsia" w:ascii="宋体" w:hAnsi="宋体" w:eastAsia="仿宋_GB2312" w:cs="宋体"/>
          <w:color w:val="auto"/>
          <w:sz w:val="32"/>
          <w:szCs w:val="32"/>
          <w:lang w:eastAsia="zh-CN"/>
        </w:rPr>
        <w:t>余项</w:t>
      </w:r>
      <w:r>
        <w:rPr>
          <w:rFonts w:hint="eastAsia" w:ascii="宋体" w:hAnsi="宋体" w:eastAsia="仿宋_GB2312" w:cs="宋体"/>
          <w:color w:val="auto"/>
          <w:sz w:val="32"/>
          <w:szCs w:val="32"/>
          <w:lang w:eastAsia="zh-Hans"/>
        </w:rPr>
        <w:t>内部控制制度，实现了集团内部控制的规范有效。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仿宋_GB2312" w:cs="宋体"/>
          <w:color w:val="auto"/>
          <w:sz w:val="32"/>
          <w:szCs w:val="32"/>
          <w:lang w:eastAsia="zh-Hans"/>
        </w:rPr>
        <w:br w:type="page"/>
      </w:r>
      <w:r>
        <w:rPr>
          <w:rFonts w:hint="eastAsia" w:ascii="宋体" w:hAnsi="宋体" w:eastAsia="仿宋_GB2312" w:cs="宋体"/>
          <w:color w:val="auto"/>
          <w:sz w:val="32"/>
          <w:szCs w:val="32"/>
          <w:lang w:eastAsia="zh-CN"/>
        </w:rPr>
        <w:t>（</w:t>
      </w:r>
      <w:r>
        <w:rPr>
          <w:rFonts w:hint="eastAsia" w:ascii="宋体" w:hAnsi="宋体" w:eastAsia="仿宋_GB2312" w:cs="宋体"/>
          <w:color w:val="auto"/>
          <w:sz w:val="32"/>
          <w:szCs w:val="32"/>
          <w:lang w:val="en-US" w:eastAsia="zh-CN"/>
        </w:rPr>
        <w:t>三</w:t>
      </w:r>
      <w:r>
        <w:rPr>
          <w:rFonts w:hint="eastAsia" w:ascii="宋体" w:hAnsi="宋体" w:eastAsia="仿宋_GB2312" w:cs="宋体"/>
          <w:color w:val="auto"/>
          <w:sz w:val="32"/>
          <w:szCs w:val="32"/>
          <w:lang w:eastAsia="zh-CN"/>
        </w:rPr>
        <w:t>）</w:t>
      </w:r>
      <w:r>
        <w:rPr>
          <w:rFonts w:hint="eastAsia" w:ascii="宋体" w:hAnsi="宋体" w:eastAsia="楷体_GB2312" w:cs="楷体_GB2312"/>
          <w:color w:val="auto"/>
          <w:sz w:val="32"/>
          <w:szCs w:val="32"/>
          <w:highlight w:val="none"/>
          <w:lang w:val="en-US" w:eastAsia="zh-CN"/>
        </w:rPr>
        <w:t>内部控制审计报告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仿宋_GB2312" w:cs="宋体"/>
          <w:color w:val="auto"/>
          <w:sz w:val="32"/>
          <w:szCs w:val="32"/>
          <w:lang w:val="en-US" w:eastAsia="zh-CN"/>
        </w:rPr>
      </w:pPr>
      <w:r>
        <w:rPr>
          <w:rFonts w:ascii="宋体" w:hAnsi="宋体"/>
          <w:color w:val="auto"/>
        </w:rPr>
        <w:drawing>
          <wp:inline distT="0" distB="0" distL="114300" distR="114300">
            <wp:extent cx="5151755" cy="7539990"/>
            <wp:effectExtent l="0" t="0" r="1079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lum bright="6000"/>
                    </a:blip>
                    <a:stretch>
                      <a:fillRect/>
                    </a:stretch>
                  </pic:blipFill>
                  <pic:spPr>
                    <a:xfrm>
                      <a:off x="0" y="0"/>
                      <a:ext cx="5151755" cy="7539990"/>
                    </a:xfrm>
                    <a:prstGeom prst="rect">
                      <a:avLst/>
                    </a:prstGeom>
                    <a:noFill/>
                    <a:ln>
                      <a:noFill/>
                    </a:ln>
                  </pic:spPr>
                </pic:pic>
              </a:graphicData>
            </a:graphic>
          </wp:inline>
        </w:drawing>
      </w:r>
    </w:p>
    <w:p>
      <w:pPr>
        <w:pStyle w:val="2"/>
        <w:rPr>
          <w:rFonts w:ascii="宋体" w:hAnsi="宋体"/>
          <w:color w:val="auto"/>
        </w:rPr>
      </w:pPr>
      <w:r>
        <w:rPr>
          <w:rFonts w:ascii="宋体" w:hAnsi="宋体"/>
          <w:color w:val="auto"/>
        </w:rPr>
        <w:drawing>
          <wp:inline distT="0" distB="0" distL="114300" distR="114300">
            <wp:extent cx="5200650" cy="7608570"/>
            <wp:effectExtent l="0" t="0" r="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00650" cy="76085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黑体" w:cs="Times New Roman"/>
          <w:color w:val="auto"/>
          <w:sz w:val="32"/>
          <w:szCs w:val="32"/>
          <w:lang w:val="en-US" w:eastAsia="zh-CN"/>
        </w:rPr>
        <w:t>十、审计报告</w:t>
      </w:r>
      <w:r>
        <w:rPr>
          <w:rFonts w:hint="default" w:ascii="宋体" w:hAnsi="宋体" w:eastAsia="黑体" w:cs="Times New Roman"/>
          <w:color w:val="auto"/>
          <w:sz w:val="32"/>
          <w:szCs w:val="3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408305</wp:posOffset>
            </wp:positionV>
            <wp:extent cx="5613400" cy="7503795"/>
            <wp:effectExtent l="0" t="0" r="6350" b="1905"/>
            <wp:wrapSquare wrapText="bothSides"/>
            <wp:docPr id="7" name="图片 3" descr="8b127998e488ca7fa3d547dceb8e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8b127998e488ca7fa3d547dceb8e424"/>
                    <pic:cNvPicPr>
                      <a:picLocks noChangeAspect="1"/>
                    </pic:cNvPicPr>
                  </pic:nvPicPr>
                  <pic:blipFill>
                    <a:blip r:embed="rId9"/>
                    <a:stretch>
                      <a:fillRect/>
                    </a:stretch>
                  </pic:blipFill>
                  <pic:spPr>
                    <a:xfrm>
                      <a:off x="0" y="0"/>
                      <a:ext cx="5613400" cy="7503795"/>
                    </a:xfrm>
                    <a:prstGeom prst="rect">
                      <a:avLst/>
                    </a:prstGeom>
                    <a:noFill/>
                    <a:ln>
                      <a:noFill/>
                    </a:ln>
                  </pic:spPr>
                </pic:pic>
              </a:graphicData>
            </a:graphic>
          </wp:anchor>
        </w:drawing>
      </w: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r>
        <w:rPr>
          <w:rFonts w:hint="eastAsia" w:ascii="宋体" w:hAnsi="宋体" w:eastAsia="仿宋_GB2312" w:cs="仿宋_GB2312"/>
          <w:color w:val="auto"/>
          <w:sz w:val="32"/>
          <w:szCs w:val="32"/>
          <w:lang w:val="en-US" w:eastAsia="zh-CN"/>
        </w:rPr>
        <w:drawing>
          <wp:anchor distT="0" distB="0" distL="114300" distR="114300" simplePos="0" relativeHeight="251664384" behindDoc="1" locked="0" layoutInCell="1" allowOverlap="1">
            <wp:simplePos x="0" y="0"/>
            <wp:positionH relativeFrom="column">
              <wp:posOffset>-189865</wp:posOffset>
            </wp:positionH>
            <wp:positionV relativeFrom="page">
              <wp:posOffset>1075690</wp:posOffset>
            </wp:positionV>
            <wp:extent cx="5613400" cy="7757795"/>
            <wp:effectExtent l="0" t="0" r="6350" b="14605"/>
            <wp:wrapTight wrapText="bothSides">
              <wp:wrapPolygon>
                <wp:start x="0" y="0"/>
                <wp:lineTo x="0" y="21535"/>
                <wp:lineTo x="21551" y="21535"/>
                <wp:lineTo x="21551" y="0"/>
                <wp:lineTo x="0" y="0"/>
              </wp:wrapPolygon>
            </wp:wrapTight>
            <wp:docPr id="9" name="图片 4" descr="72d14b7a74382f37c7ad5d6fa784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72d14b7a74382f37c7ad5d6fa784a84"/>
                    <pic:cNvPicPr>
                      <a:picLocks noChangeAspect="1"/>
                    </pic:cNvPicPr>
                  </pic:nvPicPr>
                  <pic:blipFill>
                    <a:blip r:embed="rId10"/>
                    <a:stretch>
                      <a:fillRect/>
                    </a:stretch>
                  </pic:blipFill>
                  <pic:spPr>
                    <a:xfrm>
                      <a:off x="0" y="0"/>
                      <a:ext cx="5613400" cy="7757795"/>
                    </a:xfrm>
                    <a:prstGeom prst="rect">
                      <a:avLst/>
                    </a:prstGeom>
                    <a:noFill/>
                    <a:ln>
                      <a:noFill/>
                    </a:ln>
                  </pic:spPr>
                </pic:pic>
              </a:graphicData>
            </a:graphic>
          </wp:anchor>
        </w:drawing>
      </w: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r>
        <w:rPr>
          <w:rFonts w:hint="eastAsia" w:ascii="宋体" w:hAnsi="宋体" w:eastAsia="仿宋_GB2312" w:cs="仿宋_GB2312"/>
          <w:color w:val="auto"/>
          <w:sz w:val="32"/>
          <w:szCs w:val="32"/>
          <w:lang w:val="en-US" w:eastAsia="zh-CN"/>
        </w:rPr>
        <w:drawing>
          <wp:anchor distT="0" distB="0" distL="114300" distR="114300" simplePos="0" relativeHeight="251663360" behindDoc="1" locked="0" layoutInCell="1" allowOverlap="1">
            <wp:simplePos x="0" y="0"/>
            <wp:positionH relativeFrom="column">
              <wp:posOffset>-229235</wp:posOffset>
            </wp:positionH>
            <wp:positionV relativeFrom="page">
              <wp:posOffset>1048385</wp:posOffset>
            </wp:positionV>
            <wp:extent cx="5612765" cy="7912735"/>
            <wp:effectExtent l="0" t="0" r="6985" b="12065"/>
            <wp:wrapNone/>
            <wp:docPr id="8" name="图片 5" descr="adf43fda05f19e03f2935f66c201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adf43fda05f19e03f2935f66c2019ef"/>
                    <pic:cNvPicPr>
                      <a:picLocks noChangeAspect="1"/>
                    </pic:cNvPicPr>
                  </pic:nvPicPr>
                  <pic:blipFill>
                    <a:blip r:embed="rId11"/>
                    <a:stretch>
                      <a:fillRect/>
                    </a:stretch>
                  </pic:blipFill>
                  <pic:spPr>
                    <a:xfrm>
                      <a:off x="0" y="0"/>
                      <a:ext cx="5612765" cy="7912735"/>
                    </a:xfrm>
                    <a:prstGeom prst="rect">
                      <a:avLst/>
                    </a:prstGeom>
                    <a:noFill/>
                    <a:ln>
                      <a:noFill/>
                    </a:ln>
                  </pic:spPr>
                </pic:pic>
              </a:graphicData>
            </a:graphic>
          </wp:anchor>
        </w:drawing>
      </w: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pStyle w:val="2"/>
        <w:rPr>
          <w:rFonts w:ascii="宋体" w:hAnsi="宋体"/>
          <w:color w:val="auto"/>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320"/>
        <w:tab w:val="right" w:pos="8640"/>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tabs>
        <w:tab w:val="center" w:pos="4320"/>
        <w:tab w:val="right" w:pos="8640"/>
        <w:tab w:val="clear" w:pos="4153"/>
        <w:tab w:val="clear" w:pos="8306"/>
      </w:tabs>
      <w:rPr>
        <w:rStyle w:val="10"/>
      </w:rPr>
    </w:pPr>
    <w:r>
      <w:fldChar w:fldCharType="begin"/>
    </w:r>
    <w:r>
      <w:rPr>
        <w:rStyle w:val="10"/>
      </w:rPr>
      <w:instrText xml:space="preserve">PAGE  </w:instrText>
    </w:r>
    <w:r>
      <w:fldChar w:fldCharType="end"/>
    </w:r>
  </w:p>
  <w:p>
    <w:pPr>
      <w:pStyle w:val="5"/>
      <w:tabs>
        <w:tab w:val="center" w:pos="4320"/>
        <w:tab w:val="right" w:pos="8640"/>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rFonts w:hint="eastAsia" w:asciiTheme="majorEastAsia" w:hAnsiTheme="majorEastAsia" w:eastAsiaTheme="majorEastAsia" w:cstheme="majorEastAsia"/>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rFonts w:hint="eastAsia" w:asciiTheme="majorEastAsia" w:hAnsiTheme="majorEastAsia" w:eastAsiaTheme="majorEastAsia" w:cstheme="majorEastAsia"/>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9A572"/>
    <w:multiLevelType w:val="singleLevel"/>
    <w:tmpl w:val="D559A572"/>
    <w:lvl w:ilvl="0" w:tentative="0">
      <w:start w:val="2"/>
      <w:numFmt w:val="chineseCounting"/>
      <w:suff w:val="nothing"/>
      <w:lvlText w:val="（%1）"/>
      <w:lvlJc w:val="left"/>
      <w:rPr>
        <w:rFonts w:hint="eastAsia"/>
      </w:rPr>
    </w:lvl>
  </w:abstractNum>
  <w:abstractNum w:abstractNumId="1">
    <w:nsid w:val="E1B2390B"/>
    <w:multiLevelType w:val="singleLevel"/>
    <w:tmpl w:val="E1B2390B"/>
    <w:lvl w:ilvl="0" w:tentative="0">
      <w:start w:val="4"/>
      <w:numFmt w:val="decimal"/>
      <w:suff w:val="nothing"/>
      <w:lvlText w:val="（%1）"/>
      <w:lvlJc w:val="left"/>
    </w:lvl>
  </w:abstractNum>
  <w:abstractNum w:abstractNumId="2">
    <w:nsid w:val="0001391E"/>
    <w:multiLevelType w:val="singleLevel"/>
    <w:tmpl w:val="0001391E"/>
    <w:lvl w:ilvl="0" w:tentative="0">
      <w:start w:val="6"/>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xMDYxN2ZmYzExOGFhMWFiNDQ5NjBiNzAzYmU0NmUifQ=="/>
  </w:docVars>
  <w:rsids>
    <w:rsidRoot w:val="00000000"/>
    <w:rsid w:val="0124687C"/>
    <w:rsid w:val="056C78CE"/>
    <w:rsid w:val="064E7C69"/>
    <w:rsid w:val="07CF3845"/>
    <w:rsid w:val="094D3873"/>
    <w:rsid w:val="096D1D5A"/>
    <w:rsid w:val="0D8A336E"/>
    <w:rsid w:val="0E8C766E"/>
    <w:rsid w:val="0EAC4129"/>
    <w:rsid w:val="137A646F"/>
    <w:rsid w:val="13DF015B"/>
    <w:rsid w:val="190545E9"/>
    <w:rsid w:val="1CEF02A3"/>
    <w:rsid w:val="2351194D"/>
    <w:rsid w:val="345C05E9"/>
    <w:rsid w:val="4E9E39EC"/>
    <w:rsid w:val="4ED14BC3"/>
    <w:rsid w:val="50FE23F8"/>
    <w:rsid w:val="53346D96"/>
    <w:rsid w:val="537D74A1"/>
    <w:rsid w:val="53971D99"/>
    <w:rsid w:val="58224378"/>
    <w:rsid w:val="59B166C6"/>
    <w:rsid w:val="5A920839"/>
    <w:rsid w:val="66A02460"/>
    <w:rsid w:val="69F407B8"/>
    <w:rsid w:val="6A105D22"/>
    <w:rsid w:val="72702F70"/>
    <w:rsid w:val="76BF4573"/>
    <w:rsid w:val="76E45ED5"/>
    <w:rsid w:val="775B3587"/>
    <w:rsid w:val="776E2A6B"/>
    <w:rsid w:val="7B965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widowControl/>
      <w:jc w:val="left"/>
      <w:outlineLvl w:val="2"/>
    </w:pPr>
    <w:rPr>
      <w:rFonts w:ascii="宋体" w:hAnsi="宋体"/>
      <w:b/>
      <w:bCs/>
      <w:kern w:val="0"/>
      <w:sz w:val="27"/>
      <w:szCs w:val="27"/>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99"/>
    <w:pPr>
      <w:spacing w:beforeAutospacing="1" w:afterAutospacing="1"/>
      <w:jc w:val="left"/>
    </w:pPr>
    <w:rPr>
      <w:rFonts w:cs="Times New Roman"/>
      <w:kern w:val="0"/>
      <w:sz w:val="24"/>
    </w:rPr>
  </w:style>
  <w:style w:type="character" w:styleId="10">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7163</Words>
  <Characters>12162</Characters>
  <Lines>0</Lines>
  <Paragraphs>0</Paragraphs>
  <TotalTime>53</TotalTime>
  <ScaleCrop>false</ScaleCrop>
  <LinksUpToDate>false</LinksUpToDate>
  <CharactersWithSpaces>12639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2022-06-10T05:53:00Z</dcterms:created>
  <dc:creator>sdgk</dc:creator>
  <cp:lastModifiedBy>兔小白</cp:lastModifiedBy>
  <cp:lastPrinted>2022-06-28T09:20:00Z</cp:lastPrinted>
  <dcterms:modified xsi:type="dcterms:W3CDTF">2022-06-28T11:30:11Z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948FA7EABBFF467A8746B91DD9902A8B</vt:lpwstr>
  </property>
</Properties>
</file>