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宋体" w:hAnsi="宋体" w:eastAsia="方正小标宋简体" w:cs="方正小标宋简体"/>
          <w:sz w:val="44"/>
          <w:szCs w:val="44"/>
        </w:rPr>
      </w:pPr>
      <w:r>
        <w:rPr>
          <w:rFonts w:hint="eastAsia" w:ascii="宋体" w:hAnsi="宋体" w:eastAsia="方正小标宋简体" w:cs="方正小标宋简体"/>
          <w:sz w:val="44"/>
          <w:szCs w:val="44"/>
        </w:rPr>
        <w:t>山东省港口集团有限公司</w:t>
      </w:r>
    </w:p>
    <w:p>
      <w:pPr>
        <w:spacing w:line="560" w:lineRule="exact"/>
        <w:jc w:val="center"/>
        <w:rPr>
          <w:rFonts w:hint="eastAsia" w:ascii="宋体" w:hAnsi="宋体" w:eastAsia="方正小标宋简体" w:cs="方正小标宋简体"/>
          <w:sz w:val="44"/>
          <w:szCs w:val="44"/>
        </w:rPr>
      </w:pPr>
      <w:r>
        <w:rPr>
          <w:rFonts w:hint="eastAsia" w:ascii="宋体" w:hAnsi="宋体" w:eastAsia="方正小标宋简体" w:cs="方正小标宋简体"/>
          <w:sz w:val="44"/>
          <w:szCs w:val="44"/>
          <w:lang w:eastAsia="zh-CN"/>
        </w:rPr>
        <w:t>202</w:t>
      </w:r>
      <w:r>
        <w:rPr>
          <w:rFonts w:hint="eastAsia" w:ascii="宋体" w:hAnsi="宋体" w:eastAsia="方正小标宋简体" w:cs="方正小标宋简体"/>
          <w:sz w:val="44"/>
          <w:szCs w:val="44"/>
          <w:lang w:val="en-US" w:eastAsia="zh-CN"/>
        </w:rPr>
        <w:t>2</w:t>
      </w:r>
      <w:r>
        <w:rPr>
          <w:rFonts w:hint="eastAsia" w:ascii="宋体" w:hAnsi="宋体" w:eastAsia="方正小标宋简体" w:cs="方正小标宋简体"/>
          <w:sz w:val="44"/>
          <w:szCs w:val="44"/>
        </w:rPr>
        <w:t>年</w:t>
      </w:r>
      <w:r>
        <w:rPr>
          <w:rFonts w:hint="eastAsia" w:ascii="宋体" w:hAnsi="宋体" w:eastAsia="方正小标宋简体" w:cs="方正小标宋简体"/>
          <w:sz w:val="44"/>
          <w:szCs w:val="44"/>
          <w:lang w:val="en-US" w:eastAsia="zh-CN"/>
        </w:rPr>
        <w:t>度</w:t>
      </w:r>
      <w:r>
        <w:rPr>
          <w:rFonts w:hint="eastAsia" w:ascii="宋体" w:hAnsi="宋体" w:eastAsia="方正小标宋简体" w:cs="方正小标宋简体"/>
          <w:sz w:val="44"/>
          <w:szCs w:val="44"/>
        </w:rPr>
        <w:t>财务等重大信息公告</w:t>
      </w:r>
    </w:p>
    <w:p>
      <w:pPr>
        <w:spacing w:line="560" w:lineRule="exact"/>
        <w:ind w:firstLine="640" w:firstLineChars="200"/>
        <w:rPr>
          <w:rFonts w:hint="eastAsia" w:ascii="宋体" w:hAnsi="宋体" w:eastAsia="仿宋_GB2312" w:cs="仿宋_GB2312"/>
          <w:sz w:val="32"/>
          <w:szCs w:val="32"/>
        </w:rPr>
      </w:pPr>
      <w:r>
        <w:rPr>
          <w:rFonts w:ascii="宋体" w:hAnsi="宋体"/>
          <w:sz w:val="32"/>
        </w:rPr>
        <mc:AlternateContent>
          <mc:Choice Requires="wps">
            <w:drawing>
              <wp:anchor distT="0" distB="0" distL="114300" distR="114300" simplePos="0" relativeHeight="251659264" behindDoc="0" locked="0" layoutInCell="1" allowOverlap="1">
                <wp:simplePos x="0" y="0"/>
                <wp:positionH relativeFrom="column">
                  <wp:posOffset>67945</wp:posOffset>
                </wp:positionH>
                <wp:positionV relativeFrom="paragraph">
                  <wp:posOffset>334010</wp:posOffset>
                </wp:positionV>
                <wp:extent cx="5457825" cy="1170305"/>
                <wp:effectExtent l="6350" t="6350" r="22225" b="23495"/>
                <wp:wrapNone/>
                <wp:docPr id="2" name="矩形 1"/>
                <wp:cNvGraphicFramePr/>
                <a:graphic xmlns:a="http://schemas.openxmlformats.org/drawingml/2006/main">
                  <a:graphicData uri="http://schemas.microsoft.com/office/word/2010/wordprocessingShape">
                    <wps:wsp>
                      <wps:cNvSpPr/>
                      <wps:spPr>
                        <a:xfrm>
                          <a:off x="1351280" y="2282190"/>
                          <a:ext cx="5609590" cy="1219200"/>
                        </a:xfrm>
                        <a:prstGeom prst="rect">
                          <a:avLst/>
                        </a:prstGeom>
                        <a:solidFill>
                          <a:srgbClr val="FFFFFF"/>
                        </a:solidFill>
                        <a:ln w="12700" cap="flat" cmpd="sng" algn="ctr">
                          <a:solidFill>
                            <a:srgbClr val="000000"/>
                          </a:solidFill>
                          <a:prstDash val="solid"/>
                          <a:miter lim="800000"/>
                        </a:ln>
                        <a:effectLst/>
                      </wps:spPr>
                      <wps:txbx>
                        <w:txbxContent>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rPr>
                            </w:pPr>
                            <w:r>
                              <w:rPr>
                                <w:rFonts w:hint="eastAsia" w:ascii="仿宋_GB2312" w:hAnsi="仿宋_GB2312" w:eastAsia="仿宋_GB2312" w:cs="仿宋_GB2312"/>
                                <w:sz w:val="32"/>
                                <w:szCs w:val="32"/>
                              </w:rPr>
                              <w:t>本公司董事会及全体董事保证本公告内容不存在任何虚假记载、误导性陈述或者重大遗漏，并对其内容的真实性、准确性和完整性承担个别及连带责任。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5.35pt;margin-top:26.3pt;height:92.15pt;width:429.75pt;z-index:251659264;v-text-anchor:middle;mso-width-relative:page;mso-height-relative:page;" fillcolor="#FFFFFF" filled="t" stroked="t" coordsize="21600,21600" o:gfxdata="UEsDBAoAAAAAAIdO4kAAAAAAAAAAAAAAAAAEAAAAZHJzL1BLAwQUAAAACACHTuJADq8l/NYAAAAJ&#10;AQAADwAAAGRycy9kb3ducmV2LnhtbE2PMU/DMBSEdyT+g/WQ2KjdINIS4nRAsLEkMMDmxo8kwn6O&#10;YrdJ+PU8JhhPd7r7rjws3okzTnEIpGG7USCQ2mAH6jS8vT7f7EHEZMgaFwg1rBjhUF1elKawYaYa&#10;z03qBJdQLIyGPqWxkDK2PXoTN2FEYu8zTN4kllMn7WRmLvdOZkrl0puBeKE3Iz722H41J6/BNMvH&#10;uq7v8yxrp4an73psXmqtr6+26gFEwiX9heEXn9GhYqZjOJGNwrFWO05quMtyEOzvdyoDcdSQ3eb3&#10;IKtS/n9Q/QBQSwMEFAAAAAgAh07iQIivQ2SEAgAAGgUAAA4AAABkcnMvZTJvRG9jLnhtbK1US27b&#10;MBDdF+gdCO4bWW6cOEbkwIjhokDQBkiLrmmKsgjwV5K2nF6mQHc9RI9T9Bp9pJTESbPIolpQM5rR&#10;G87jG55f7LUiO+GDtKai5dGIEmG4raXZVPTzp9WbKSUhMlMzZY2o6K0I9GL++tV552ZibFurauEJ&#10;QEyYda6ibYxuVhSBt0KzcGSdMAg21msW4fpNUXvWAV2rYjwanRSd9bXzlosQ8HXZB+mA6F8CaJtG&#10;crG0fKuFiT2qF4pFtBRa6QKd5902jeDxY9MEEYmqKDqNeUUR2Ou0FvNzNtt45lrJhy2wl2zhSU+a&#10;SYOi91BLFhnZevkPlJbc22CbeMStLvpGMiPoohw94eamZU7kXkB1cPekh/8Hyz/srj2RdUXHlBim&#10;ceB/vv/8/esHKRM3nQszpNy4az94AWZqdN94nd5ogeyho7eTcjwFq7dAGk/H5dnArdhHwpEwORmd&#10;TfCRcGSUiEMLqULxAOV8iO+E1SQZFfU4vMwp212F2KfepaTKwSpZr6RS2fGb9aXyZMdw0Kv8DOiP&#10;0pQhXSp/iuKEM8i3gWxgagcKgtlQwtQGc8Gjz7Uf/R0Oi4zy81yRtMklC22/mYyQ0thMy4jRUVJX&#10;dHr4tzIpKrJch1YT8T3VyYr79X7gf23rW5yYt72Ug+MriXpXLMRr5qFdNIbpjh+xNMqiWztYlLTW&#10;f3vue8qHpBClpMMsgImvW+YFJeq9gdjOyuNjwMbsHE9Ox3D8YWR9GDFbfWlxCiXuEcezmfKjujMb&#10;b/UXXAKLVBUhZjhq95wPzmXsZxTXCBeLRU7DwDgWr8yN4wk8UWbsYhttI7M6ElE9O1BVcjAyWV/D&#10;eKeZPPRz1sOVNv8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q8l/NYAAAAJAQAADwAAAAAAAAAB&#10;ACAAAAAiAAAAZHJzL2Rvd25yZXYueG1sUEsBAhQAFAAAAAgAh07iQIivQ2SEAgAAGgUAAA4AAAAA&#10;AAAAAQAgAAAAJQEAAGRycy9lMm9Eb2MueG1sUEsFBgAAAAAGAAYAWQEAABsGAA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rPr>
                      </w:pPr>
                      <w:r>
                        <w:rPr>
                          <w:rFonts w:hint="eastAsia" w:ascii="仿宋_GB2312" w:hAnsi="仿宋_GB2312" w:eastAsia="仿宋_GB2312" w:cs="仿宋_GB2312"/>
                          <w:sz w:val="32"/>
                          <w:szCs w:val="32"/>
                        </w:rPr>
                        <w:t>本公司董事会及全体董事保证本公告内容不存在任何虚假记载、误导性陈述或者重大遗漏，并对其内容的真实性、准确性和完整性承担个别及连带责任。</w:t>
                      </w:r>
                    </w:p>
                  </w:txbxContent>
                </v:textbox>
              </v:rect>
            </w:pict>
          </mc:Fallback>
        </mc:AlternateContent>
      </w:r>
    </w:p>
    <w:p>
      <w:pPr>
        <w:spacing w:line="560" w:lineRule="exact"/>
        <w:ind w:firstLine="640" w:firstLineChars="200"/>
        <w:rPr>
          <w:rFonts w:hint="eastAsia" w:ascii="宋体" w:hAnsi="宋体" w:eastAsia="仿宋_GB2312" w:cs="仿宋_GB2312"/>
          <w:sz w:val="32"/>
          <w:szCs w:val="32"/>
        </w:rPr>
      </w:pPr>
    </w:p>
    <w:p>
      <w:pPr>
        <w:spacing w:line="560" w:lineRule="exact"/>
        <w:ind w:firstLine="640" w:firstLineChars="200"/>
        <w:rPr>
          <w:rFonts w:hint="eastAsia" w:ascii="宋体" w:hAnsi="宋体" w:eastAsia="仿宋_GB2312" w:cs="仿宋_GB2312"/>
          <w:sz w:val="32"/>
          <w:szCs w:val="32"/>
        </w:rPr>
      </w:pPr>
    </w:p>
    <w:p>
      <w:pPr>
        <w:spacing w:line="560" w:lineRule="exact"/>
        <w:ind w:firstLine="640" w:firstLineChars="200"/>
        <w:rPr>
          <w:rFonts w:hint="eastAsia" w:ascii="宋体" w:hAnsi="宋体" w:eastAsia="仿宋_GB2312" w:cs="仿宋_GB2312"/>
          <w:sz w:val="32"/>
          <w:szCs w:val="32"/>
        </w:rPr>
      </w:pPr>
    </w:p>
    <w:p>
      <w:pPr>
        <w:spacing w:line="560" w:lineRule="exact"/>
        <w:ind w:firstLine="640" w:firstLineChars="200"/>
        <w:rPr>
          <w:rFonts w:hint="eastAsia" w:ascii="宋体" w:hAnsi="宋体" w:eastAsia="仿宋_GB2312" w:cs="仿宋_GB2312"/>
          <w:sz w:val="32"/>
          <w:szCs w:val="32"/>
        </w:rPr>
      </w:pPr>
    </w:p>
    <w:p>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楷体_GB2312" w:cs="仿宋_GB2312"/>
          <w:sz w:val="32"/>
          <w:szCs w:val="32"/>
        </w:rPr>
      </w:pPr>
      <w:r>
        <w:rPr>
          <w:rFonts w:hint="eastAsia" w:ascii="宋体" w:hAnsi="宋体" w:eastAsia="楷体_GB2312" w:cs="仿宋_GB2312"/>
          <w:sz w:val="32"/>
          <w:szCs w:val="32"/>
        </w:rPr>
        <w:t>本信息公告口径说明：项目前面注明集团的为集团一级企业，未注明的为集团</w:t>
      </w:r>
      <w:r>
        <w:rPr>
          <w:rFonts w:hint="eastAsia" w:ascii="宋体" w:hAnsi="宋体" w:eastAsia="楷体_GB2312" w:cs="仿宋_GB2312"/>
          <w:sz w:val="32"/>
          <w:szCs w:val="32"/>
          <w:lang w:val="en-US" w:eastAsia="zh-CN"/>
        </w:rPr>
        <w:t>合并</w:t>
      </w:r>
      <w:r>
        <w:rPr>
          <w:rFonts w:hint="eastAsia" w:ascii="宋体" w:hAnsi="宋体" w:eastAsia="楷体_GB2312" w:cs="仿宋_GB2312"/>
          <w:sz w:val="32"/>
          <w:szCs w:val="32"/>
        </w:rPr>
        <w:t>口径。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黑体" w:cs="黑体"/>
          <w:color w:val="auto"/>
          <w:sz w:val="32"/>
          <w:szCs w:val="32"/>
        </w:rPr>
      </w:pPr>
      <w:r>
        <w:rPr>
          <w:rFonts w:hint="eastAsia" w:ascii="宋体" w:hAnsi="宋体" w:eastAsia="黑体" w:cs="黑体"/>
          <w:color w:val="auto"/>
          <w:sz w:val="32"/>
          <w:szCs w:val="32"/>
        </w:rPr>
        <w:t>一、公司基本情况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1</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中文名称：山东省港口集团有限公司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_GB2312" w:cs="仿宋_GB2312"/>
          <w:color w:val="auto"/>
          <w:sz w:val="32"/>
          <w:szCs w:val="32"/>
        </w:rPr>
      </w:pPr>
      <w:r>
        <w:rPr>
          <w:rFonts w:hint="eastAsia" w:ascii="宋体" w:hAnsi="宋体" w:eastAsia="仿宋_GB2312" w:cs="仿宋_GB2312"/>
          <w:color w:val="auto"/>
          <w:sz w:val="32"/>
          <w:szCs w:val="32"/>
          <w:lang w:val="en-US" w:eastAsia="zh-CN"/>
        </w:rPr>
        <w:t xml:space="preserve">  </w:t>
      </w:r>
      <w:r>
        <w:rPr>
          <w:rFonts w:hint="eastAsia" w:ascii="宋体" w:hAnsi="宋体" w:eastAsia="仿宋_GB2312" w:cs="仿宋_GB2312"/>
          <w:color w:val="auto"/>
          <w:sz w:val="32"/>
          <w:szCs w:val="32"/>
        </w:rPr>
        <w:t xml:space="preserve">简 </w:t>
      </w:r>
      <w:r>
        <w:rPr>
          <w:rFonts w:ascii="宋体" w:hAnsi="宋体" w:eastAsia="仿宋_GB2312" w:cs="仿宋_GB2312"/>
          <w:color w:val="auto"/>
          <w:sz w:val="32"/>
          <w:szCs w:val="32"/>
        </w:rPr>
        <w:t xml:space="preserve">   </w:t>
      </w:r>
      <w:r>
        <w:rPr>
          <w:rFonts w:hint="eastAsia" w:ascii="宋体" w:hAnsi="宋体" w:eastAsia="仿宋_GB2312" w:cs="仿宋_GB2312"/>
          <w:color w:val="auto"/>
          <w:sz w:val="32"/>
          <w:szCs w:val="32"/>
        </w:rPr>
        <w:t xml:space="preserve">称：山东省港口集团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2</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外文名称：Shandong Port Group Co., Ltd.</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3</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法定代表人：霍高原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4</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注册地址：山东省青岛市市北区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_GB2312" w:cs="仿宋_GB2312"/>
          <w:color w:val="auto"/>
          <w:sz w:val="32"/>
          <w:szCs w:val="32"/>
        </w:rPr>
      </w:pPr>
      <w:r>
        <w:rPr>
          <w:rFonts w:hint="eastAsia" w:ascii="宋体" w:hAnsi="宋体" w:eastAsia="仿宋_GB2312" w:cs="仿宋_GB2312"/>
          <w:color w:val="auto"/>
          <w:sz w:val="32"/>
          <w:szCs w:val="32"/>
        </w:rPr>
        <w:t>5</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经营范围：</w:t>
      </w:r>
      <w:r>
        <w:rPr>
          <w:rFonts w:ascii="宋体" w:hAnsi="宋体" w:eastAsia="仿宋_GB2312"/>
          <w:color w:val="auto"/>
          <w:sz w:val="32"/>
          <w:szCs w:val="32"/>
        </w:rPr>
        <w:t>港口运营管理，港口产业投资，港口基础设施建设，港口和航运配套服务，海岸线及港区土地资源收储和开发利用，远洋和沿海航运，货物运输，仓储物流，大宗商品交易，股权和基金投资、管理、运营；船舶交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_GB2312" w:cs="仿宋_GB2312"/>
          <w:color w:val="auto"/>
          <w:sz w:val="32"/>
          <w:szCs w:val="32"/>
        </w:rPr>
      </w:pPr>
      <w:r>
        <w:rPr>
          <w:rFonts w:hint="eastAsia" w:ascii="宋体" w:hAnsi="宋体" w:eastAsia="仿宋_GB2312" w:cs="仿宋_GB2312"/>
          <w:color w:val="auto"/>
          <w:sz w:val="32"/>
          <w:szCs w:val="32"/>
        </w:rPr>
        <w:t>6</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办公地址：山东省青岛市市北区港极路7号山东港口大厦，邮编：266000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7</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网址：http://www.sd-port.com/</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8</w:t>
      </w:r>
      <w:r>
        <w:rPr>
          <w:rFonts w:ascii="宋体" w:hAnsi="宋体" w:eastAsia="仿宋_GB2312" w:cs="仿宋_GB2312"/>
          <w:color w:val="auto"/>
          <w:sz w:val="32"/>
          <w:szCs w:val="32"/>
        </w:rPr>
        <w:t>.</w:t>
      </w:r>
      <w:r>
        <w:rPr>
          <w:rFonts w:hint="eastAsia" w:ascii="宋体" w:hAnsi="宋体" w:eastAsia="仿宋_GB2312" w:cs="仿宋_GB2312"/>
          <w:color w:val="auto"/>
          <w:sz w:val="32"/>
          <w:szCs w:val="32"/>
        </w:rPr>
        <w:t>电子信箱：bgs@sd-port.com</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9.公司简介：</w:t>
      </w:r>
      <w:r>
        <w:rPr>
          <w:rFonts w:hint="eastAsia" w:ascii="宋体" w:hAnsi="宋体" w:eastAsia="仿宋_GB2312" w:cs="仿宋_GB2312"/>
          <w:color w:val="auto"/>
          <w:kern w:val="2"/>
          <w:sz w:val="32"/>
          <w:szCs w:val="32"/>
        </w:rPr>
        <w:t>山东省港口集团有限公司是省属国有重要骨干企业，成立于2019年8月6日，总部位于山东青岛。拥有青岛港集团、日照港集团、烟台港集团、渤海湾港集团四大港口集团，青岛港（601298.SH，06198.HK）、日照港（600017.SH）、日照港裕廊（6117.HK）三家上市公司，投控、港湾建设、产城融合、物流、航运、邮轮文旅、装备、贸易、科技、海外发展、职教、医养、港服等十三个板块集团。目前，形成了“以青岛港为龙头，日照港、烟台港为两翼，渤海湾港为延展，各板块集团为支撑，众多内陆港为依托”的一体化协同发展格局，共有21个主要港区、3</w:t>
      </w:r>
      <w:r>
        <w:rPr>
          <w:rFonts w:hint="eastAsia" w:ascii="宋体" w:hAnsi="宋体" w:eastAsia="仿宋_GB2312" w:cs="仿宋_GB2312"/>
          <w:color w:val="auto"/>
          <w:kern w:val="2"/>
          <w:sz w:val="32"/>
          <w:szCs w:val="32"/>
          <w:lang w:val="en-US" w:eastAsia="zh-CN"/>
        </w:rPr>
        <w:t>7</w:t>
      </w:r>
      <w:r>
        <w:rPr>
          <w:rFonts w:hint="eastAsia" w:ascii="宋体" w:hAnsi="宋体" w:eastAsia="仿宋_GB2312" w:cs="仿宋_GB2312"/>
          <w:color w:val="auto"/>
          <w:kern w:val="2"/>
          <w:sz w:val="32"/>
          <w:szCs w:val="32"/>
        </w:rPr>
        <w:t>0余个生产性泊位、330余条集装箱航线。</w:t>
      </w:r>
    </w:p>
    <w:p>
      <w:pPr>
        <w:pStyle w:val="3"/>
        <w:pageBreakBefore w:val="0"/>
        <w:widowControl w:val="0"/>
        <w:kinsoku/>
        <w:wordWrap/>
        <w:overflowPunct/>
        <w:topLinePunct w:val="0"/>
        <w:autoSpaceDE/>
        <w:autoSpaceDN/>
        <w:bidi w:val="0"/>
        <w:adjustRightInd/>
        <w:snapToGrid/>
        <w:spacing w:before="0" w:after="0" w:line="600" w:lineRule="exact"/>
        <w:ind w:firstLine="640" w:firstLineChars="200"/>
        <w:textAlignment w:val="auto"/>
        <w:rPr>
          <w:rFonts w:hint="eastAsia" w:ascii="宋体" w:hAnsi="宋体" w:eastAsia="黑体" w:cs="Times New Roman"/>
          <w:b w:val="0"/>
          <w:bCs w:val="0"/>
          <w:sz w:val="32"/>
          <w:szCs w:val="32"/>
          <w:lang w:val="en-US" w:eastAsia="zh-CN"/>
        </w:rPr>
      </w:pPr>
      <w:r>
        <w:rPr>
          <w:rFonts w:hint="eastAsia" w:ascii="宋体" w:hAnsi="宋体" w:eastAsia="黑体" w:cs="Times New Roman"/>
          <w:b w:val="0"/>
          <w:bCs w:val="0"/>
          <w:sz w:val="32"/>
          <w:szCs w:val="32"/>
        </w:rPr>
        <w:t>二、</w:t>
      </w:r>
      <w:r>
        <w:rPr>
          <w:rFonts w:hint="eastAsia" w:ascii="宋体" w:hAnsi="宋体" w:eastAsia="黑体" w:cs="Times New Roman"/>
          <w:b w:val="0"/>
          <w:bCs w:val="0"/>
          <w:sz w:val="32"/>
          <w:szCs w:val="32"/>
          <w:lang w:val="en-US" w:eastAsia="zh-CN"/>
        </w:rPr>
        <w:t>财务会计报告和审计报告摘要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楷体_GB2312" w:cs="楷体_GB2312"/>
          <w:sz w:val="32"/>
          <w:szCs w:val="32"/>
          <w:lang w:val="en-US" w:eastAsia="zh-CN"/>
        </w:rPr>
      </w:pPr>
      <w:r>
        <w:rPr>
          <w:rFonts w:hint="eastAsia" w:ascii="宋体" w:hAnsi="宋体" w:eastAsia="楷体_GB2312" w:cs="楷体_GB2312"/>
          <w:sz w:val="32"/>
          <w:szCs w:val="32"/>
          <w:lang w:val="en-US" w:eastAsia="zh-CN"/>
        </w:rPr>
        <w:t>（一）财务会计报告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1.主要会计数据和财务指标</w:t>
      </w:r>
    </w:p>
    <w:p>
      <w:pPr>
        <w:rPr>
          <w:rFonts w:ascii="宋体" w:hAnsi="宋体" w:eastAsia="仿宋"/>
          <w:szCs w:val="21"/>
        </w:rPr>
      </w:pPr>
      <w:r>
        <w:rPr>
          <w:rFonts w:hint="eastAsia" w:ascii="宋体" w:hAnsi="宋体" w:eastAsia="仿宋"/>
          <w:sz w:val="32"/>
          <w:szCs w:val="32"/>
        </w:rPr>
        <w:t xml:space="preserve"> </w:t>
      </w:r>
      <w:r>
        <w:rPr>
          <w:rFonts w:ascii="宋体" w:hAnsi="宋体" w:eastAsia="仿宋"/>
          <w:sz w:val="32"/>
          <w:szCs w:val="32"/>
        </w:rPr>
        <w:t xml:space="preserve">                           </w:t>
      </w:r>
      <w:r>
        <w:rPr>
          <w:rFonts w:ascii="宋体" w:hAnsi="宋体" w:eastAsia="仿宋"/>
          <w:szCs w:val="21"/>
        </w:rPr>
        <w:t xml:space="preserve">           </w:t>
      </w:r>
      <w:r>
        <w:rPr>
          <w:rFonts w:hint="eastAsia" w:ascii="宋体" w:hAnsi="宋体" w:eastAsia="仿宋"/>
          <w:szCs w:val="21"/>
          <w:lang w:val="en-US" w:eastAsia="zh-CN"/>
        </w:rPr>
        <w:t xml:space="preserve">              </w:t>
      </w:r>
      <w:r>
        <w:rPr>
          <w:rFonts w:hint="eastAsia" w:ascii="宋体" w:hAnsi="宋体" w:eastAsia="仿宋_GB2312" w:cs="Times New Roman"/>
          <w:sz w:val="22"/>
          <w:szCs w:val="22"/>
        </w:rPr>
        <w:t xml:space="preserve"> </w:t>
      </w:r>
      <w:r>
        <w:rPr>
          <w:rFonts w:hint="eastAsia" w:ascii="宋体" w:hAnsi="宋体" w:eastAsia="仿宋_GB2312" w:cs="Times New Roman"/>
          <w:sz w:val="21"/>
          <w:szCs w:val="21"/>
        </w:rPr>
        <w:t xml:space="preserve"> 单位：万元 </w:t>
      </w:r>
      <w:r>
        <w:rPr>
          <w:rFonts w:hint="eastAsia" w:ascii="宋体" w:hAnsi="宋体" w:eastAsia="仿宋_GB2312" w:cs="Times New Roman"/>
          <w:sz w:val="22"/>
          <w:szCs w:val="22"/>
        </w:rPr>
        <w:t xml:space="preserve">  </w:t>
      </w:r>
    </w:p>
    <w:tbl>
      <w:tblPr>
        <w:tblStyle w:val="11"/>
        <w:tblW w:w="8445" w:type="dxa"/>
        <w:tblInd w:w="349" w:type="dxa"/>
        <w:tblLayout w:type="fixed"/>
        <w:tblCellMar>
          <w:top w:w="0" w:type="dxa"/>
          <w:left w:w="108" w:type="dxa"/>
          <w:bottom w:w="0" w:type="dxa"/>
          <w:right w:w="108" w:type="dxa"/>
        </w:tblCellMar>
      </w:tblPr>
      <w:tblGrid>
        <w:gridCol w:w="2100"/>
        <w:gridCol w:w="2085"/>
        <w:gridCol w:w="2160"/>
        <w:gridCol w:w="2100"/>
      </w:tblGrid>
      <w:tr>
        <w:tblPrEx>
          <w:tblCellMar>
            <w:top w:w="0" w:type="dxa"/>
            <w:left w:w="108" w:type="dxa"/>
            <w:bottom w:w="0" w:type="dxa"/>
            <w:right w:w="108" w:type="dxa"/>
          </w:tblCellMar>
        </w:tblPrEx>
        <w:trPr>
          <w:trHeight w:val="511" w:hRule="atLeast"/>
        </w:trPr>
        <w:tc>
          <w:tcPr>
            <w:tcW w:w="2100" w:type="dxa"/>
            <w:tcBorders>
              <w:top w:val="single" w:color="auto" w:sz="8" w:space="0"/>
              <w:left w:val="single" w:color="auto" w:sz="8" w:space="0"/>
              <w:bottom w:val="single" w:color="auto" w:sz="8" w:space="0"/>
              <w:right w:val="single" w:color="auto" w:sz="8" w:space="0"/>
            </w:tcBorders>
            <w:noWrap/>
            <w:vAlign w:val="center"/>
          </w:tcPr>
          <w:p>
            <w:pPr>
              <w:jc w:val="center"/>
              <w:rPr>
                <w:rFonts w:hint="eastAsia" w:ascii="宋体" w:hAnsi="宋体" w:eastAsia="仿宋_GB2312" w:cs="宋体"/>
                <w:b/>
                <w:szCs w:val="22"/>
              </w:rPr>
            </w:pPr>
            <w:r>
              <w:rPr>
                <w:rFonts w:hint="eastAsia" w:ascii="宋体" w:hAnsi="宋体" w:eastAsia="仿宋_GB2312" w:cs="宋体"/>
                <w:b/>
                <w:szCs w:val="22"/>
                <w:lang w:val="en-US" w:eastAsia="zh-CN"/>
              </w:rPr>
              <w:t>项目</w:t>
            </w:r>
          </w:p>
        </w:tc>
        <w:tc>
          <w:tcPr>
            <w:tcW w:w="2085" w:type="dxa"/>
            <w:tcBorders>
              <w:top w:val="single" w:color="auto" w:sz="8" w:space="0"/>
              <w:left w:val="nil"/>
              <w:bottom w:val="single" w:color="auto" w:sz="8" w:space="0"/>
              <w:right w:val="single" w:color="auto" w:sz="8" w:space="0"/>
            </w:tcBorders>
            <w:noWrap/>
            <w:vAlign w:val="center"/>
          </w:tcPr>
          <w:p>
            <w:pPr>
              <w:jc w:val="center"/>
              <w:rPr>
                <w:rFonts w:hint="eastAsia" w:ascii="宋体" w:hAnsi="宋体" w:eastAsia="仿宋_GB2312" w:cs="宋体"/>
                <w:b/>
                <w:szCs w:val="22"/>
              </w:rPr>
            </w:pPr>
            <w:r>
              <w:rPr>
                <w:rFonts w:hint="eastAsia" w:ascii="宋体" w:hAnsi="宋体" w:eastAsia="仿宋_GB2312" w:cs="宋体"/>
                <w:b/>
                <w:szCs w:val="22"/>
                <w:lang w:val="en-US" w:eastAsia="zh-CN"/>
              </w:rPr>
              <w:t>本期金额</w:t>
            </w:r>
          </w:p>
        </w:tc>
        <w:tc>
          <w:tcPr>
            <w:tcW w:w="2160" w:type="dxa"/>
            <w:tcBorders>
              <w:top w:val="single" w:color="auto" w:sz="8" w:space="0"/>
              <w:left w:val="nil"/>
              <w:bottom w:val="single" w:color="auto" w:sz="8" w:space="0"/>
              <w:right w:val="single" w:color="auto" w:sz="8" w:space="0"/>
            </w:tcBorders>
            <w:noWrap/>
            <w:vAlign w:val="center"/>
          </w:tcPr>
          <w:p>
            <w:pPr>
              <w:jc w:val="center"/>
              <w:rPr>
                <w:rFonts w:hint="eastAsia" w:ascii="宋体" w:hAnsi="宋体" w:eastAsia="仿宋_GB2312" w:cs="宋体"/>
                <w:b/>
                <w:szCs w:val="22"/>
              </w:rPr>
            </w:pPr>
            <w:r>
              <w:rPr>
                <w:rFonts w:hint="eastAsia" w:ascii="宋体" w:hAnsi="宋体" w:eastAsia="仿宋_GB2312" w:cs="宋体"/>
                <w:b/>
                <w:szCs w:val="22"/>
                <w:lang w:val="en-US" w:eastAsia="zh-CN"/>
              </w:rPr>
              <w:t>上期金额</w:t>
            </w:r>
          </w:p>
        </w:tc>
        <w:tc>
          <w:tcPr>
            <w:tcW w:w="2100" w:type="dxa"/>
            <w:tcBorders>
              <w:top w:val="single" w:color="auto" w:sz="8" w:space="0"/>
              <w:left w:val="nil"/>
              <w:bottom w:val="single" w:color="auto" w:sz="8" w:space="0"/>
              <w:right w:val="single" w:color="auto" w:sz="8" w:space="0"/>
            </w:tcBorders>
            <w:noWrap/>
            <w:vAlign w:val="center"/>
          </w:tcPr>
          <w:p>
            <w:pPr>
              <w:jc w:val="center"/>
              <w:rPr>
                <w:rFonts w:hint="eastAsia" w:ascii="宋体" w:hAnsi="宋体" w:eastAsia="仿宋_GB2312" w:cs="宋体"/>
                <w:b/>
                <w:szCs w:val="22"/>
              </w:rPr>
            </w:pPr>
            <w:r>
              <w:rPr>
                <w:rFonts w:hint="eastAsia" w:ascii="宋体" w:hAnsi="宋体" w:eastAsia="仿宋_GB2312" w:cs="宋体"/>
                <w:b/>
                <w:szCs w:val="22"/>
                <w:lang w:val="en-US" w:eastAsia="zh-CN"/>
              </w:rPr>
              <w:t>变动比例（%）</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u w:val="none"/>
                <w:lang w:val="en-US" w:eastAsia="zh-CN" w:bidi="ar"/>
              </w:rPr>
              <w:t>营业总收入</w:t>
            </w:r>
          </w:p>
        </w:tc>
        <w:tc>
          <w:tcPr>
            <w:tcW w:w="2085"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13,738,591.28</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8,380,602.67</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63.93%</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u w:val="none"/>
                <w:lang w:val="en-US" w:eastAsia="zh-CN" w:bidi="ar"/>
              </w:rPr>
              <w:t>营业总成本</w:t>
            </w:r>
          </w:p>
        </w:tc>
        <w:tc>
          <w:tcPr>
            <w:tcW w:w="2085"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13,142,978.37</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7,847,304.33</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67.48%</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u w:val="none"/>
                <w:lang w:val="en-US" w:eastAsia="zh-CN" w:bidi="ar"/>
              </w:rPr>
              <w:t>销售费用</w:t>
            </w:r>
          </w:p>
        </w:tc>
        <w:tc>
          <w:tcPr>
            <w:tcW w:w="2085"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8,752.48</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7,212.09</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21.36%</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u w:val="none"/>
                <w:lang w:val="en-US" w:eastAsia="zh-CN" w:bidi="ar"/>
              </w:rPr>
              <w:t>管理费用</w:t>
            </w:r>
          </w:p>
        </w:tc>
        <w:tc>
          <w:tcPr>
            <w:tcW w:w="2085"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447,408.65</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391,823.39</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14.19%</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u w:val="none"/>
                <w:lang w:val="en-US" w:eastAsia="zh-CN" w:bidi="ar"/>
              </w:rPr>
              <w:t>财务费用</w:t>
            </w:r>
          </w:p>
        </w:tc>
        <w:tc>
          <w:tcPr>
            <w:tcW w:w="2085"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327,083.11</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235,042.10</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39.16%</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u w:val="none"/>
                <w:lang w:val="en-US" w:eastAsia="zh-CN" w:bidi="ar"/>
              </w:rPr>
              <w:t>投资收益</w:t>
            </w:r>
          </w:p>
        </w:tc>
        <w:tc>
          <w:tcPr>
            <w:tcW w:w="2085"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197,483.46</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197,109.85</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0.19%</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u w:val="none"/>
                <w:lang w:val="en-US" w:eastAsia="zh-CN" w:bidi="ar"/>
              </w:rPr>
              <w:t>营业利润</w:t>
            </w:r>
          </w:p>
        </w:tc>
        <w:tc>
          <w:tcPr>
            <w:tcW w:w="2085"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883,464.13</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735,863.29</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20.06%</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default" w:ascii="宋体" w:hAnsi="宋体" w:eastAsia="仿宋_GB2312" w:cs="Arial"/>
                <w:kern w:val="0"/>
                <w:sz w:val="21"/>
                <w:szCs w:val="21"/>
                <w:lang w:val="en-US" w:eastAsia="zh-CN"/>
              </w:rPr>
            </w:pPr>
            <w:r>
              <w:rPr>
                <w:rFonts w:hint="eastAsia" w:ascii="宋体" w:hAnsi="宋体" w:eastAsia="仿宋_GB2312" w:cs="仿宋_GB2312"/>
                <w:i w:val="0"/>
                <w:iCs w:val="0"/>
                <w:color w:val="000000"/>
                <w:kern w:val="0"/>
                <w:sz w:val="21"/>
                <w:szCs w:val="21"/>
                <w:u w:val="none"/>
                <w:lang w:val="en-US" w:eastAsia="zh-CN" w:bidi="ar"/>
              </w:rPr>
              <w:t>营业外收入</w:t>
            </w:r>
          </w:p>
        </w:tc>
        <w:tc>
          <w:tcPr>
            <w:tcW w:w="2085"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34,914.35</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34,028.04</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2.60%</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default" w:ascii="宋体" w:hAnsi="宋体" w:eastAsia="仿宋_GB2312" w:cs="Arial"/>
                <w:kern w:val="0"/>
                <w:sz w:val="21"/>
                <w:szCs w:val="21"/>
                <w:lang w:val="en-US" w:eastAsia="zh-CN"/>
              </w:rPr>
            </w:pPr>
            <w:r>
              <w:rPr>
                <w:rFonts w:hint="eastAsia" w:ascii="宋体" w:hAnsi="宋体" w:eastAsia="仿宋_GB2312" w:cs="仿宋_GB2312"/>
                <w:i w:val="0"/>
                <w:iCs w:val="0"/>
                <w:color w:val="000000"/>
                <w:kern w:val="0"/>
                <w:sz w:val="21"/>
                <w:szCs w:val="21"/>
                <w:u w:val="none"/>
                <w:lang w:val="en-US" w:eastAsia="zh-CN" w:bidi="ar"/>
              </w:rPr>
              <w:t>营业外支出</w:t>
            </w:r>
          </w:p>
        </w:tc>
        <w:tc>
          <w:tcPr>
            <w:tcW w:w="2085"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16,427.30</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13,655.14</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20.30%</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u w:val="none"/>
                <w:lang w:val="en-US" w:eastAsia="zh-CN" w:bidi="ar"/>
              </w:rPr>
              <w:t>利润总额</w:t>
            </w:r>
          </w:p>
        </w:tc>
        <w:tc>
          <w:tcPr>
            <w:tcW w:w="2085"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901,951.18</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756,236.20</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19.27%</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highlight w:val="none"/>
                <w:u w:val="none"/>
                <w:lang w:val="en-US" w:eastAsia="zh-CN" w:bidi="ar"/>
              </w:rPr>
              <w:t>已交税费总额</w:t>
            </w:r>
          </w:p>
        </w:tc>
        <w:tc>
          <w:tcPr>
            <w:tcW w:w="2085" w:type="dxa"/>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center"/>
              <w:rPr>
                <w:rFonts w:hint="eastAsia" w:ascii="宋体" w:hAnsi="宋体" w:eastAsia="宋体" w:cs="Times New Roman"/>
                <w:i w:val="0"/>
                <w:iCs w:val="0"/>
                <w:color w:val="000000"/>
                <w:kern w:val="0"/>
                <w:sz w:val="21"/>
                <w:szCs w:val="21"/>
                <w:u w:val="none"/>
                <w:lang w:val="en-US" w:eastAsia="zh-CN" w:bidi="ar"/>
              </w:rPr>
            </w:pPr>
            <w:r>
              <w:rPr>
                <w:rFonts w:hint="default" w:ascii="宋体" w:hAnsi="宋体" w:eastAsia="宋体" w:cs="Times New Roman"/>
                <w:i w:val="0"/>
                <w:iCs w:val="0"/>
                <w:color w:val="000000"/>
                <w:kern w:val="0"/>
                <w:sz w:val="21"/>
                <w:szCs w:val="21"/>
                <w:u w:val="none"/>
                <w:lang w:val="en-US" w:eastAsia="zh-CN" w:bidi="ar"/>
              </w:rPr>
              <w:t xml:space="preserve">637,735.31 </w:t>
            </w:r>
          </w:p>
        </w:tc>
        <w:tc>
          <w:tcPr>
            <w:tcW w:w="2160" w:type="dxa"/>
            <w:tcBorders>
              <w:top w:val="nil"/>
              <w:left w:val="nil"/>
              <w:bottom w:val="single" w:color="auto" w:sz="8" w:space="0"/>
              <w:right w:val="single" w:color="auto" w:sz="8" w:space="0"/>
            </w:tcBorders>
            <w:noWrap w:val="0"/>
            <w:vAlign w:val="top"/>
          </w:tcPr>
          <w:p>
            <w:pPr>
              <w:keepNext w:val="0"/>
              <w:keepLines w:val="0"/>
              <w:widowControl/>
              <w:suppressLineNumbers w:val="0"/>
              <w:jc w:val="right"/>
              <w:textAlignment w:val="center"/>
              <w:rPr>
                <w:rFonts w:hint="eastAsia" w:ascii="宋体" w:hAnsi="宋体" w:eastAsia="宋体" w:cs="Times New Roman"/>
                <w:i w:val="0"/>
                <w:iCs w:val="0"/>
                <w:color w:val="000000"/>
                <w:kern w:val="0"/>
                <w:sz w:val="21"/>
                <w:szCs w:val="21"/>
                <w:u w:val="none"/>
                <w:lang w:val="en-US" w:eastAsia="zh-CN" w:bidi="ar"/>
              </w:rPr>
            </w:pPr>
            <w:r>
              <w:rPr>
                <w:rFonts w:hint="default" w:ascii="宋体" w:hAnsi="宋体" w:eastAsia="宋体" w:cs="Times New Roman"/>
                <w:i w:val="0"/>
                <w:iCs w:val="0"/>
                <w:color w:val="000000"/>
                <w:kern w:val="0"/>
                <w:sz w:val="21"/>
                <w:szCs w:val="21"/>
                <w:u w:val="none"/>
                <w:lang w:val="en-US" w:eastAsia="zh-CN" w:bidi="ar"/>
              </w:rPr>
              <w:t xml:space="preserve">389,375.93 </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default" w:ascii="宋体" w:hAnsi="宋体" w:eastAsia="宋体" w:cs="Times New Roman"/>
                <w:color w:val="000000"/>
                <w:szCs w:val="22"/>
                <w:highlight w:val="none"/>
                <w:lang w:val="en-US" w:eastAsia="zh-CN"/>
              </w:rPr>
            </w:pPr>
            <w:r>
              <w:rPr>
                <w:rFonts w:hint="eastAsia" w:ascii="宋体" w:hAnsi="宋体" w:cs="Times New Roman"/>
                <w:color w:val="000000"/>
                <w:szCs w:val="22"/>
                <w:highlight w:val="none"/>
                <w:lang w:val="en-US" w:eastAsia="zh-CN"/>
              </w:rPr>
              <w:t>63.78%</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u w:val="none"/>
                <w:lang w:val="en-US" w:eastAsia="zh-CN" w:bidi="ar"/>
              </w:rPr>
              <w:t>净利润</w:t>
            </w:r>
          </w:p>
        </w:tc>
        <w:tc>
          <w:tcPr>
            <w:tcW w:w="2085"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651,376.21</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527,194.17</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23.56%</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default" w:ascii="宋体" w:hAnsi="宋体" w:eastAsia="仿宋_GB2312" w:cs="Arial"/>
                <w:kern w:val="0"/>
                <w:sz w:val="21"/>
                <w:szCs w:val="21"/>
                <w:lang w:val="en-US" w:eastAsia="zh-CN"/>
              </w:rPr>
            </w:pPr>
            <w:r>
              <w:rPr>
                <w:rFonts w:hint="eastAsia" w:ascii="宋体" w:hAnsi="宋体" w:eastAsia="仿宋_GB2312" w:cs="仿宋_GB2312"/>
                <w:i w:val="0"/>
                <w:iCs w:val="0"/>
                <w:color w:val="000000"/>
                <w:kern w:val="0"/>
                <w:sz w:val="21"/>
                <w:szCs w:val="21"/>
                <w:u w:val="none"/>
                <w:lang w:val="en-US" w:eastAsia="zh-CN" w:bidi="ar"/>
              </w:rPr>
              <w:t>营业利润率（%）</w:t>
            </w:r>
          </w:p>
        </w:tc>
        <w:tc>
          <w:tcPr>
            <w:tcW w:w="2085" w:type="dxa"/>
            <w:tcBorders>
              <w:top w:val="nil"/>
              <w:left w:val="nil"/>
              <w:bottom w:val="single" w:color="auto" w:sz="8" w:space="0"/>
              <w:right w:val="single" w:color="auto" w:sz="8" w:space="0"/>
            </w:tcBorders>
            <w:noWrap/>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6.43</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8.76</w:t>
            </w:r>
          </w:p>
        </w:tc>
        <w:tc>
          <w:tcPr>
            <w:tcW w:w="2100" w:type="dxa"/>
            <w:tcBorders>
              <w:top w:val="nil"/>
              <w:left w:val="nil"/>
              <w:bottom w:val="single" w:color="auto" w:sz="8" w:space="0"/>
              <w:right w:val="single" w:color="auto" w:sz="8" w:space="0"/>
            </w:tcBorders>
            <w:noWrap/>
            <w:vAlign w:val="center"/>
          </w:tcPr>
          <w:p>
            <w:pPr>
              <w:keepNext w:val="0"/>
              <w:keepLines w:val="0"/>
              <w:widowControl/>
              <w:suppressLineNumbers w:val="0"/>
              <w:jc w:val="right"/>
              <w:textAlignment w:val="center"/>
              <w:rPr>
                <w:rFonts w:hint="eastAsia" w:ascii="宋体" w:hAnsi="宋体" w:eastAsia="宋体" w:cs="Times New Roman"/>
                <w:color w:val="000000"/>
                <w:szCs w:val="22"/>
                <w:lang w:val="en-US" w:eastAsia="zh-CN"/>
              </w:rPr>
            </w:pPr>
            <w:r>
              <w:rPr>
                <w:rFonts w:hint="default" w:ascii="宋体" w:hAnsi="宋体" w:eastAsia="宋体" w:cs="Times New Roman"/>
                <w:i w:val="0"/>
                <w:iCs w:val="0"/>
                <w:color w:val="000000"/>
                <w:kern w:val="0"/>
                <w:sz w:val="21"/>
                <w:szCs w:val="21"/>
                <w:u w:val="none"/>
                <w:lang w:val="en-US" w:eastAsia="zh-CN" w:bidi="ar"/>
              </w:rPr>
              <w:t xml:space="preserve"> -</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default" w:ascii="宋体" w:hAnsi="宋体" w:eastAsia="仿宋_GB2312" w:cs="Arial"/>
                <w:kern w:val="0"/>
                <w:sz w:val="21"/>
                <w:szCs w:val="21"/>
                <w:lang w:val="en-US" w:eastAsia="zh-CN"/>
              </w:rPr>
            </w:pPr>
            <w:r>
              <w:rPr>
                <w:rFonts w:hint="eastAsia" w:ascii="宋体" w:hAnsi="宋体" w:eastAsia="仿宋_GB2312" w:cs="仿宋_GB2312"/>
                <w:i w:val="0"/>
                <w:iCs w:val="0"/>
                <w:color w:val="000000"/>
                <w:kern w:val="0"/>
                <w:sz w:val="21"/>
                <w:szCs w:val="21"/>
                <w:u w:val="none"/>
                <w:lang w:val="en-US" w:eastAsia="zh-CN" w:bidi="ar"/>
              </w:rPr>
              <w:t>净资产收益率（%）</w:t>
            </w:r>
          </w:p>
        </w:tc>
        <w:tc>
          <w:tcPr>
            <w:tcW w:w="2085" w:type="dxa"/>
            <w:tcBorders>
              <w:top w:val="nil"/>
              <w:left w:val="nil"/>
              <w:bottom w:val="single" w:color="auto" w:sz="8" w:space="0"/>
              <w:right w:val="single" w:color="auto" w:sz="8" w:space="0"/>
            </w:tcBorders>
            <w:noWrap/>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6.33</w:t>
            </w:r>
          </w:p>
        </w:tc>
        <w:tc>
          <w:tcPr>
            <w:tcW w:w="2160" w:type="dxa"/>
            <w:tcBorders>
              <w:top w:val="nil"/>
              <w:left w:val="nil"/>
              <w:bottom w:val="single" w:color="auto" w:sz="8" w:space="0"/>
              <w:right w:val="single" w:color="auto" w:sz="8" w:space="0"/>
            </w:tcBorders>
            <w:noWrap w:val="0"/>
            <w:vAlign w:val="center"/>
          </w:tcPr>
          <w:p>
            <w:pPr>
              <w:keepNext w:val="0"/>
              <w:keepLines w:val="0"/>
              <w:widowControl/>
              <w:suppressLineNumbers w:val="0"/>
              <w:jc w:val="right"/>
              <w:textAlignment w:val="center"/>
              <w:rPr>
                <w:rFonts w:hint="eastAsia" w:ascii="宋体" w:hAnsi="宋体" w:eastAsia="宋体" w:cs="Times New Roman"/>
                <w:color w:val="000000"/>
                <w:szCs w:val="22"/>
              </w:rPr>
            </w:pPr>
            <w:r>
              <w:rPr>
                <w:rFonts w:hint="default" w:ascii="宋体" w:hAnsi="宋体" w:eastAsia="宋体" w:cs="Times New Roman"/>
                <w:i w:val="0"/>
                <w:iCs w:val="0"/>
                <w:color w:val="000000"/>
                <w:kern w:val="0"/>
                <w:sz w:val="21"/>
                <w:szCs w:val="21"/>
                <w:u w:val="none"/>
                <w:lang w:val="en-US" w:eastAsia="zh-CN" w:bidi="ar"/>
              </w:rPr>
              <w:t>5.31</w:t>
            </w:r>
          </w:p>
        </w:tc>
        <w:tc>
          <w:tcPr>
            <w:tcW w:w="2100" w:type="dxa"/>
            <w:tcBorders>
              <w:top w:val="nil"/>
              <w:left w:val="nil"/>
              <w:bottom w:val="single" w:color="auto" w:sz="8" w:space="0"/>
              <w:right w:val="single" w:color="auto" w:sz="8" w:space="0"/>
            </w:tcBorders>
            <w:noWrap/>
            <w:vAlign w:val="center"/>
          </w:tcPr>
          <w:p>
            <w:pPr>
              <w:keepNext w:val="0"/>
              <w:keepLines w:val="0"/>
              <w:widowControl/>
              <w:suppressLineNumbers w:val="0"/>
              <w:jc w:val="right"/>
              <w:textAlignment w:val="center"/>
              <w:rPr>
                <w:rFonts w:hint="eastAsia" w:ascii="宋体" w:hAnsi="宋体" w:eastAsia="宋体" w:cs="Times New Roman"/>
                <w:color w:val="000000"/>
                <w:szCs w:val="22"/>
                <w:lang w:val="en-US" w:eastAsia="zh-CN"/>
              </w:rPr>
            </w:pPr>
            <w:r>
              <w:rPr>
                <w:rFonts w:hint="default" w:ascii="宋体" w:hAnsi="宋体" w:eastAsia="宋体" w:cs="Times New Roman"/>
                <w:i w:val="0"/>
                <w:iCs w:val="0"/>
                <w:color w:val="000000"/>
                <w:kern w:val="0"/>
                <w:sz w:val="21"/>
                <w:szCs w:val="21"/>
                <w:u w:val="none"/>
                <w:lang w:val="en-US" w:eastAsia="zh-CN" w:bidi="ar"/>
              </w:rPr>
              <w:t xml:space="preserve"> -</w:t>
            </w:r>
          </w:p>
        </w:tc>
      </w:tr>
      <w:tr>
        <w:tblPrEx>
          <w:tblCellMar>
            <w:top w:w="0" w:type="dxa"/>
            <w:left w:w="108" w:type="dxa"/>
            <w:bottom w:w="0" w:type="dxa"/>
            <w:right w:w="108" w:type="dxa"/>
          </w:tblCellMar>
        </w:tblPrEx>
        <w:trPr>
          <w:trHeight w:val="279" w:hRule="atLeast"/>
        </w:trPr>
        <w:tc>
          <w:tcPr>
            <w:tcW w:w="2100" w:type="dxa"/>
            <w:tcBorders>
              <w:top w:val="nil"/>
              <w:left w:val="single" w:color="auto" w:sz="8" w:space="0"/>
              <w:bottom w:val="single" w:color="auto" w:sz="8" w:space="0"/>
              <w:right w:val="single" w:color="auto" w:sz="8" w:space="0"/>
            </w:tcBorders>
            <w:noWrap/>
            <w:vAlign w:val="center"/>
          </w:tcPr>
          <w:p>
            <w:pPr>
              <w:jc w:val="center"/>
              <w:rPr>
                <w:rFonts w:hint="eastAsia" w:ascii="宋体" w:hAnsi="宋体" w:eastAsia="仿宋_GB2312" w:cs="宋体"/>
                <w:b/>
                <w:szCs w:val="22"/>
                <w:lang w:val="en-US" w:eastAsia="zh-CN"/>
              </w:rPr>
            </w:pPr>
            <w:r>
              <w:rPr>
                <w:rFonts w:hint="eastAsia" w:ascii="宋体" w:hAnsi="宋体" w:eastAsia="仿宋_GB2312" w:cs="宋体"/>
                <w:b/>
                <w:szCs w:val="22"/>
                <w:lang w:val="en-US" w:eastAsia="zh-CN"/>
              </w:rPr>
              <w:t>项目</w:t>
            </w:r>
          </w:p>
        </w:tc>
        <w:tc>
          <w:tcPr>
            <w:tcW w:w="2085" w:type="dxa"/>
            <w:tcBorders>
              <w:top w:val="nil"/>
              <w:left w:val="nil"/>
              <w:bottom w:val="single" w:color="auto" w:sz="8" w:space="0"/>
              <w:right w:val="single" w:color="auto" w:sz="8" w:space="0"/>
            </w:tcBorders>
            <w:noWrap/>
            <w:vAlign w:val="center"/>
          </w:tcPr>
          <w:p>
            <w:pPr>
              <w:jc w:val="center"/>
              <w:rPr>
                <w:rFonts w:hint="eastAsia" w:ascii="宋体" w:hAnsi="宋体" w:eastAsia="仿宋_GB2312" w:cs="宋体"/>
                <w:b/>
                <w:szCs w:val="22"/>
                <w:lang w:val="en-US" w:eastAsia="zh-CN"/>
              </w:rPr>
            </w:pPr>
            <w:r>
              <w:rPr>
                <w:rFonts w:hint="eastAsia" w:ascii="宋体" w:hAnsi="宋体" w:eastAsia="仿宋_GB2312" w:cs="宋体"/>
                <w:b/>
                <w:szCs w:val="22"/>
                <w:lang w:val="en-US" w:eastAsia="zh-CN"/>
              </w:rPr>
              <w:t>期末余额</w:t>
            </w:r>
          </w:p>
        </w:tc>
        <w:tc>
          <w:tcPr>
            <w:tcW w:w="2160" w:type="dxa"/>
            <w:tcBorders>
              <w:top w:val="nil"/>
              <w:left w:val="nil"/>
              <w:bottom w:val="single" w:color="auto" w:sz="8" w:space="0"/>
              <w:right w:val="single" w:color="auto" w:sz="8" w:space="0"/>
            </w:tcBorders>
            <w:noWrap/>
            <w:vAlign w:val="center"/>
          </w:tcPr>
          <w:p>
            <w:pPr>
              <w:jc w:val="center"/>
              <w:rPr>
                <w:rFonts w:hint="eastAsia" w:ascii="宋体" w:hAnsi="宋体" w:eastAsia="仿宋_GB2312" w:cs="宋体"/>
                <w:b/>
                <w:szCs w:val="22"/>
                <w:lang w:val="en-US" w:eastAsia="zh-CN"/>
              </w:rPr>
            </w:pPr>
            <w:r>
              <w:rPr>
                <w:rFonts w:hint="eastAsia" w:ascii="宋体" w:hAnsi="宋体" w:eastAsia="仿宋_GB2312" w:cs="宋体"/>
                <w:b/>
                <w:szCs w:val="22"/>
                <w:lang w:val="en-US" w:eastAsia="zh-CN"/>
              </w:rPr>
              <w:t>年初余额</w:t>
            </w:r>
          </w:p>
        </w:tc>
        <w:tc>
          <w:tcPr>
            <w:tcW w:w="2100" w:type="dxa"/>
            <w:tcBorders>
              <w:top w:val="nil"/>
              <w:left w:val="nil"/>
              <w:bottom w:val="single" w:color="auto" w:sz="8" w:space="0"/>
              <w:right w:val="single" w:color="auto" w:sz="8" w:space="0"/>
            </w:tcBorders>
            <w:noWrap/>
            <w:vAlign w:val="center"/>
          </w:tcPr>
          <w:p>
            <w:pPr>
              <w:jc w:val="center"/>
              <w:rPr>
                <w:rFonts w:hint="eastAsia" w:ascii="宋体" w:hAnsi="宋体" w:eastAsia="仿宋_GB2312" w:cs="宋体"/>
                <w:b/>
                <w:szCs w:val="22"/>
                <w:lang w:val="en-US" w:eastAsia="zh-CN"/>
              </w:rPr>
            </w:pPr>
            <w:r>
              <w:rPr>
                <w:rFonts w:hint="eastAsia" w:ascii="宋体" w:hAnsi="宋体" w:eastAsia="仿宋_GB2312" w:cs="宋体"/>
                <w:b/>
                <w:szCs w:val="22"/>
                <w:lang w:val="en-US" w:eastAsia="zh-CN"/>
              </w:rPr>
              <w:t>变动比例（%）</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u w:val="none"/>
                <w:lang w:val="en-US" w:eastAsia="zh-CN" w:bidi="ar"/>
              </w:rPr>
              <w:t>资产总额</w:t>
            </w:r>
          </w:p>
        </w:tc>
        <w:tc>
          <w:tcPr>
            <w:tcW w:w="2085" w:type="dxa"/>
            <w:tcBorders>
              <w:top w:val="nil"/>
              <w:left w:val="nil"/>
              <w:bottom w:val="single" w:color="auto" w:sz="8" w:space="0"/>
              <w:right w:val="single" w:color="auto" w:sz="8" w:space="0"/>
            </w:tcBorders>
            <w:noWrap w:val="0"/>
            <w:vAlign w:val="bottom"/>
          </w:tcPr>
          <w:p>
            <w:pPr>
              <w:keepNext w:val="0"/>
              <w:keepLines w:val="0"/>
              <w:widowControl/>
              <w:suppressLineNumbers w:val="0"/>
              <w:jc w:val="right"/>
              <w:textAlignment w:val="bottom"/>
              <w:rPr>
                <w:rFonts w:hint="eastAsia" w:ascii="宋体" w:hAnsi="宋体" w:eastAsia="宋体" w:cs="Times New Roman"/>
                <w:color w:val="000000"/>
                <w:szCs w:val="22"/>
                <w:lang w:val="en-US" w:eastAsia="zh-CN"/>
              </w:rPr>
            </w:pPr>
            <w:r>
              <w:rPr>
                <w:rFonts w:hint="default" w:ascii="宋体" w:hAnsi="宋体" w:eastAsia="宋体" w:cs="Times New Roman"/>
                <w:i w:val="0"/>
                <w:iCs w:val="0"/>
                <w:color w:val="000000"/>
                <w:kern w:val="0"/>
                <w:sz w:val="21"/>
                <w:szCs w:val="21"/>
                <w:u w:val="none"/>
                <w:lang w:val="en-US" w:eastAsia="zh-CN" w:bidi="ar"/>
              </w:rPr>
              <w:t>25,204,045.70</w:t>
            </w:r>
          </w:p>
        </w:tc>
        <w:tc>
          <w:tcPr>
            <w:tcW w:w="2160" w:type="dxa"/>
            <w:tcBorders>
              <w:top w:val="nil"/>
              <w:left w:val="nil"/>
              <w:bottom w:val="single" w:color="auto" w:sz="8" w:space="0"/>
              <w:right w:val="single" w:color="auto" w:sz="8" w:space="0"/>
            </w:tcBorders>
            <w:noWrap w:val="0"/>
            <w:vAlign w:val="bottom"/>
          </w:tcPr>
          <w:p>
            <w:pPr>
              <w:keepNext w:val="0"/>
              <w:keepLines w:val="0"/>
              <w:widowControl/>
              <w:suppressLineNumbers w:val="0"/>
              <w:jc w:val="right"/>
              <w:textAlignment w:val="bottom"/>
              <w:rPr>
                <w:rFonts w:hint="eastAsia" w:ascii="宋体" w:hAnsi="宋体" w:eastAsia="宋体" w:cs="Times New Roman"/>
                <w:color w:val="000000"/>
                <w:szCs w:val="22"/>
                <w:lang w:val="en-US" w:eastAsia="zh-CN"/>
              </w:rPr>
            </w:pPr>
            <w:r>
              <w:rPr>
                <w:rFonts w:hint="default" w:ascii="宋体" w:hAnsi="宋体" w:eastAsia="宋体" w:cs="Times New Roman"/>
                <w:i w:val="0"/>
                <w:iCs w:val="0"/>
                <w:color w:val="000000"/>
                <w:kern w:val="0"/>
                <w:sz w:val="21"/>
                <w:szCs w:val="21"/>
                <w:u w:val="none"/>
                <w:lang w:val="en-US" w:eastAsia="zh-CN" w:bidi="ar"/>
              </w:rPr>
              <w:t>23,192,870.60</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lang w:val="en-US" w:eastAsia="zh-CN"/>
              </w:rPr>
            </w:pPr>
            <w:r>
              <w:rPr>
                <w:rFonts w:hint="default" w:ascii="宋体" w:hAnsi="宋体" w:eastAsia="宋体" w:cs="Times New Roman"/>
                <w:i w:val="0"/>
                <w:iCs w:val="0"/>
                <w:color w:val="000000"/>
                <w:kern w:val="0"/>
                <w:sz w:val="21"/>
                <w:szCs w:val="21"/>
                <w:u w:val="none"/>
                <w:lang w:val="en-US" w:eastAsia="zh-CN" w:bidi="ar"/>
              </w:rPr>
              <w:t>8.67%</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u w:val="none"/>
                <w:lang w:val="en-US" w:eastAsia="zh-CN" w:bidi="ar"/>
              </w:rPr>
              <w:t>负债总额</w:t>
            </w:r>
          </w:p>
        </w:tc>
        <w:tc>
          <w:tcPr>
            <w:tcW w:w="2085" w:type="dxa"/>
            <w:tcBorders>
              <w:top w:val="nil"/>
              <w:left w:val="nil"/>
              <w:bottom w:val="single" w:color="auto" w:sz="8" w:space="0"/>
              <w:right w:val="single" w:color="auto" w:sz="8" w:space="0"/>
            </w:tcBorders>
            <w:noWrap w:val="0"/>
            <w:vAlign w:val="bottom"/>
          </w:tcPr>
          <w:p>
            <w:pPr>
              <w:keepNext w:val="0"/>
              <w:keepLines w:val="0"/>
              <w:widowControl/>
              <w:suppressLineNumbers w:val="0"/>
              <w:jc w:val="right"/>
              <w:textAlignment w:val="bottom"/>
              <w:rPr>
                <w:rFonts w:hint="eastAsia" w:ascii="宋体" w:hAnsi="宋体" w:eastAsia="宋体" w:cs="Times New Roman"/>
                <w:color w:val="000000"/>
                <w:szCs w:val="22"/>
                <w:lang w:val="en-US" w:eastAsia="zh-CN"/>
              </w:rPr>
            </w:pPr>
            <w:r>
              <w:rPr>
                <w:rFonts w:hint="default" w:ascii="宋体" w:hAnsi="宋体" w:eastAsia="宋体" w:cs="Times New Roman"/>
                <w:i w:val="0"/>
                <w:iCs w:val="0"/>
                <w:color w:val="000000"/>
                <w:kern w:val="0"/>
                <w:sz w:val="21"/>
                <w:szCs w:val="21"/>
                <w:u w:val="none"/>
                <w:lang w:val="en-US" w:eastAsia="zh-CN" w:bidi="ar"/>
              </w:rPr>
              <w:t>14,706,813.40</w:t>
            </w:r>
          </w:p>
        </w:tc>
        <w:tc>
          <w:tcPr>
            <w:tcW w:w="2160" w:type="dxa"/>
            <w:tcBorders>
              <w:top w:val="nil"/>
              <w:left w:val="nil"/>
              <w:bottom w:val="single" w:color="auto" w:sz="8" w:space="0"/>
              <w:right w:val="single" w:color="auto" w:sz="8" w:space="0"/>
            </w:tcBorders>
            <w:noWrap w:val="0"/>
            <w:vAlign w:val="bottom"/>
          </w:tcPr>
          <w:p>
            <w:pPr>
              <w:keepNext w:val="0"/>
              <w:keepLines w:val="0"/>
              <w:widowControl/>
              <w:suppressLineNumbers w:val="0"/>
              <w:jc w:val="right"/>
              <w:textAlignment w:val="bottom"/>
              <w:rPr>
                <w:rFonts w:hint="eastAsia" w:ascii="宋体" w:hAnsi="宋体" w:eastAsia="宋体" w:cs="Times New Roman"/>
                <w:color w:val="000000"/>
                <w:szCs w:val="22"/>
                <w:lang w:val="en-US" w:eastAsia="zh-CN"/>
              </w:rPr>
            </w:pPr>
            <w:r>
              <w:rPr>
                <w:rFonts w:hint="default" w:ascii="宋体" w:hAnsi="宋体" w:eastAsia="宋体" w:cs="Times New Roman"/>
                <w:i w:val="0"/>
                <w:iCs w:val="0"/>
                <w:color w:val="000000"/>
                <w:kern w:val="0"/>
                <w:sz w:val="21"/>
                <w:szCs w:val="21"/>
                <w:u w:val="none"/>
                <w:lang w:val="en-US" w:eastAsia="zh-CN" w:bidi="ar"/>
              </w:rPr>
              <w:t>13,119,412.51</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lang w:val="en-US" w:eastAsia="zh-CN"/>
              </w:rPr>
            </w:pPr>
            <w:r>
              <w:rPr>
                <w:rFonts w:hint="default" w:ascii="宋体" w:hAnsi="宋体" w:eastAsia="宋体" w:cs="Times New Roman"/>
                <w:i w:val="0"/>
                <w:iCs w:val="0"/>
                <w:color w:val="000000"/>
                <w:kern w:val="0"/>
                <w:sz w:val="21"/>
                <w:szCs w:val="21"/>
                <w:u w:val="none"/>
                <w:lang w:val="en-US" w:eastAsia="zh-CN" w:bidi="ar"/>
              </w:rPr>
              <w:t>12.10%</w:t>
            </w:r>
          </w:p>
        </w:tc>
      </w:tr>
      <w:tr>
        <w:tblPrEx>
          <w:tblCellMar>
            <w:top w:w="0" w:type="dxa"/>
            <w:left w:w="108" w:type="dxa"/>
            <w:bottom w:w="0" w:type="dxa"/>
            <w:right w:w="108" w:type="dxa"/>
          </w:tblCellMar>
        </w:tblPrEx>
        <w:trPr>
          <w:trHeight w:val="294" w:hRule="atLeast"/>
        </w:trPr>
        <w:tc>
          <w:tcPr>
            <w:tcW w:w="2100" w:type="dxa"/>
            <w:tcBorders>
              <w:top w:val="nil"/>
              <w:left w:val="single" w:color="auto" w:sz="8" w:space="0"/>
              <w:bottom w:val="single" w:color="auto" w:sz="8" w:space="0"/>
              <w:right w:val="single" w:color="auto" w:sz="8" w:space="0"/>
            </w:tcBorders>
            <w:noWrap/>
            <w:vAlign w:val="center"/>
          </w:tcPr>
          <w:p>
            <w:pPr>
              <w:keepNext w:val="0"/>
              <w:keepLines w:val="0"/>
              <w:widowControl/>
              <w:suppressLineNumbers w:val="0"/>
              <w:jc w:val="center"/>
              <w:textAlignment w:val="center"/>
              <w:rPr>
                <w:rFonts w:hint="eastAsia" w:ascii="宋体" w:hAnsi="宋体" w:eastAsia="仿宋_GB2312" w:cs="Arial"/>
                <w:kern w:val="0"/>
                <w:sz w:val="21"/>
                <w:szCs w:val="21"/>
              </w:rPr>
            </w:pPr>
            <w:r>
              <w:rPr>
                <w:rFonts w:hint="eastAsia" w:ascii="宋体" w:hAnsi="宋体" w:eastAsia="仿宋_GB2312" w:cs="仿宋_GB2312"/>
                <w:i w:val="0"/>
                <w:iCs w:val="0"/>
                <w:color w:val="000000"/>
                <w:kern w:val="0"/>
                <w:sz w:val="21"/>
                <w:szCs w:val="21"/>
                <w:u w:val="none"/>
                <w:lang w:val="en-US" w:eastAsia="zh-CN" w:bidi="ar"/>
              </w:rPr>
              <w:t>所有者权益</w:t>
            </w:r>
          </w:p>
        </w:tc>
        <w:tc>
          <w:tcPr>
            <w:tcW w:w="2085" w:type="dxa"/>
            <w:tcBorders>
              <w:top w:val="nil"/>
              <w:left w:val="nil"/>
              <w:bottom w:val="single" w:color="auto" w:sz="8" w:space="0"/>
              <w:right w:val="single" w:color="auto" w:sz="8" w:space="0"/>
            </w:tcBorders>
            <w:noWrap w:val="0"/>
            <w:vAlign w:val="bottom"/>
          </w:tcPr>
          <w:p>
            <w:pPr>
              <w:keepNext w:val="0"/>
              <w:keepLines w:val="0"/>
              <w:widowControl/>
              <w:suppressLineNumbers w:val="0"/>
              <w:jc w:val="right"/>
              <w:textAlignment w:val="bottom"/>
              <w:rPr>
                <w:rFonts w:hint="eastAsia" w:ascii="宋体" w:hAnsi="宋体" w:eastAsia="宋体" w:cs="Times New Roman"/>
                <w:color w:val="000000"/>
                <w:szCs w:val="22"/>
                <w:lang w:val="en-US" w:eastAsia="zh-CN"/>
              </w:rPr>
            </w:pPr>
            <w:r>
              <w:rPr>
                <w:rFonts w:hint="default" w:ascii="宋体" w:hAnsi="宋体" w:eastAsia="宋体" w:cs="Times New Roman"/>
                <w:i w:val="0"/>
                <w:iCs w:val="0"/>
                <w:color w:val="000000"/>
                <w:kern w:val="0"/>
                <w:sz w:val="21"/>
                <w:szCs w:val="21"/>
                <w:u w:val="none"/>
                <w:lang w:val="en-US" w:eastAsia="zh-CN" w:bidi="ar"/>
              </w:rPr>
              <w:t>10,497,232.30</w:t>
            </w:r>
          </w:p>
        </w:tc>
        <w:tc>
          <w:tcPr>
            <w:tcW w:w="2160" w:type="dxa"/>
            <w:tcBorders>
              <w:top w:val="nil"/>
              <w:left w:val="nil"/>
              <w:bottom w:val="single" w:color="auto" w:sz="8" w:space="0"/>
              <w:right w:val="single" w:color="auto" w:sz="8" w:space="0"/>
            </w:tcBorders>
            <w:noWrap w:val="0"/>
            <w:vAlign w:val="bottom"/>
          </w:tcPr>
          <w:p>
            <w:pPr>
              <w:keepNext w:val="0"/>
              <w:keepLines w:val="0"/>
              <w:widowControl/>
              <w:suppressLineNumbers w:val="0"/>
              <w:jc w:val="right"/>
              <w:textAlignment w:val="bottom"/>
              <w:rPr>
                <w:rFonts w:hint="eastAsia" w:ascii="宋体" w:hAnsi="宋体" w:eastAsia="宋体" w:cs="Times New Roman"/>
                <w:color w:val="000000"/>
                <w:szCs w:val="22"/>
                <w:lang w:val="en-US" w:eastAsia="zh-CN"/>
              </w:rPr>
            </w:pPr>
            <w:r>
              <w:rPr>
                <w:rFonts w:hint="default" w:ascii="宋体" w:hAnsi="宋体" w:eastAsia="宋体" w:cs="Times New Roman"/>
                <w:i w:val="0"/>
                <w:iCs w:val="0"/>
                <w:color w:val="000000"/>
                <w:kern w:val="0"/>
                <w:sz w:val="21"/>
                <w:szCs w:val="21"/>
                <w:u w:val="none"/>
                <w:lang w:val="en-US" w:eastAsia="zh-CN" w:bidi="ar"/>
              </w:rPr>
              <w:t>10,073,458.08</w:t>
            </w:r>
          </w:p>
        </w:tc>
        <w:tc>
          <w:tcPr>
            <w:tcW w:w="2100" w:type="dxa"/>
            <w:tcBorders>
              <w:top w:val="nil"/>
              <w:left w:val="nil"/>
              <w:bottom w:val="single" w:color="auto" w:sz="8" w:space="0"/>
              <w:right w:val="single" w:color="auto" w:sz="8" w:space="0"/>
            </w:tcBorders>
            <w:noWrap/>
            <w:vAlign w:val="bottom"/>
          </w:tcPr>
          <w:p>
            <w:pPr>
              <w:keepNext w:val="0"/>
              <w:keepLines w:val="0"/>
              <w:widowControl/>
              <w:suppressLineNumbers w:val="0"/>
              <w:jc w:val="right"/>
              <w:textAlignment w:val="bottom"/>
              <w:rPr>
                <w:rFonts w:hint="eastAsia" w:ascii="宋体" w:hAnsi="宋体" w:eastAsia="宋体" w:cs="Times New Roman"/>
                <w:color w:val="000000"/>
                <w:szCs w:val="22"/>
                <w:lang w:val="en-US" w:eastAsia="zh-CN"/>
              </w:rPr>
            </w:pPr>
            <w:r>
              <w:rPr>
                <w:rFonts w:hint="default" w:ascii="宋体" w:hAnsi="宋体" w:eastAsia="宋体" w:cs="Times New Roman"/>
                <w:i w:val="0"/>
                <w:iCs w:val="0"/>
                <w:color w:val="000000"/>
                <w:kern w:val="0"/>
                <w:sz w:val="21"/>
                <w:szCs w:val="21"/>
                <w:u w:val="none"/>
                <w:lang w:val="en-US" w:eastAsia="zh-CN" w:bidi="ar"/>
              </w:rPr>
              <w:t>4.21%</w:t>
            </w:r>
          </w:p>
        </w:tc>
      </w:tr>
    </w:tbl>
    <w:p>
      <w:pPr>
        <w:spacing w:line="560" w:lineRule="exact"/>
        <w:ind w:firstLine="210" w:firstLineChars="100"/>
        <w:rPr>
          <w:rFonts w:hint="default" w:ascii="宋体" w:hAnsi="宋体" w:eastAsia="仿宋_GB2312" w:cs="仿宋_GB2312"/>
          <w:sz w:val="21"/>
          <w:szCs w:val="21"/>
          <w:lang w:val="en-US" w:eastAsia="zh-CN"/>
        </w:rPr>
      </w:pPr>
      <w:r>
        <w:rPr>
          <w:rFonts w:hint="eastAsia" w:ascii="宋体" w:hAnsi="宋体" w:eastAsia="仿宋_GB2312" w:cs="仿宋_GB2312"/>
          <w:sz w:val="21"/>
          <w:szCs w:val="21"/>
          <w:lang w:val="en-US" w:eastAsia="zh-CN"/>
        </w:rPr>
        <w:t>注：以上数据按照年度审计后的决算数据填报。</w:t>
      </w:r>
    </w:p>
    <w:p>
      <w:pPr>
        <w:spacing w:line="560" w:lineRule="exact"/>
        <w:ind w:firstLine="640" w:firstLineChars="200"/>
        <w:rPr>
          <w:rFonts w:hint="eastAsia"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2.财务报表的编制基础</w:t>
      </w:r>
    </w:p>
    <w:p>
      <w:pPr>
        <w:spacing w:line="560" w:lineRule="exact"/>
        <w:ind w:firstLine="640" w:firstLineChars="200"/>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山东省港口集团财务报表以持续经营为基础，根据实际发生的交易和事项，按照财政部颁布的《企业会计准则》及相关规定编制。</w:t>
      </w:r>
    </w:p>
    <w:p>
      <w:pPr>
        <w:numPr>
          <w:ilvl w:val="0"/>
          <w:numId w:val="0"/>
        </w:numPr>
        <w:spacing w:line="560" w:lineRule="exact"/>
        <w:ind w:firstLine="640" w:firstLineChars="200"/>
        <w:rPr>
          <w:rFonts w:hint="eastAsia" w:ascii="宋体" w:hAnsi="宋体" w:eastAsia="仿宋_GB2312" w:cs="仿宋_GB2312"/>
          <w:b w:val="0"/>
          <w:bCs w:val="0"/>
          <w:color w:val="auto"/>
          <w:sz w:val="32"/>
          <w:szCs w:val="32"/>
          <w:lang w:val="en-US" w:eastAsia="zh-CN"/>
        </w:rPr>
      </w:pPr>
      <w:r>
        <w:rPr>
          <w:rFonts w:hint="eastAsia" w:ascii="宋体" w:hAnsi="宋体" w:eastAsia="仿宋_GB2312" w:cs="仿宋_GB2312"/>
          <w:b w:val="0"/>
          <w:bCs w:val="0"/>
          <w:color w:val="auto"/>
          <w:sz w:val="32"/>
          <w:szCs w:val="32"/>
          <w:lang w:val="en-US" w:eastAsia="zh-CN"/>
        </w:rPr>
        <w:t>3.主要会计政策和会计估计变更及影响</w:t>
      </w:r>
    </w:p>
    <w:p>
      <w:pPr>
        <w:spacing w:line="560" w:lineRule="exact"/>
        <w:ind w:firstLine="640" w:firstLineChars="200"/>
        <w:rPr>
          <w:rFonts w:hint="eastAsia" w:ascii="宋体" w:hAnsi="宋体" w:eastAsia="仿宋_GB2312" w:cs="Times New Roman"/>
          <w:sz w:val="32"/>
          <w:szCs w:val="32"/>
          <w:lang w:val="en-US" w:eastAsia="zh-CN"/>
        </w:rPr>
      </w:pPr>
      <w:r>
        <w:rPr>
          <w:rFonts w:hint="eastAsia" w:ascii="宋体" w:hAnsi="宋体" w:eastAsia="仿宋_GB2312" w:cs="Times New Roman"/>
          <w:sz w:val="32"/>
          <w:szCs w:val="32"/>
          <w:lang w:val="en-US" w:eastAsia="zh-CN"/>
        </w:rPr>
        <w:t>（1）会计政策变更及影响</w:t>
      </w:r>
    </w:p>
    <w:p>
      <w:pPr>
        <w:spacing w:line="560" w:lineRule="exact"/>
        <w:ind w:firstLine="640" w:firstLineChars="200"/>
        <w:rPr>
          <w:rFonts w:hint="eastAsia" w:ascii="宋体" w:hAnsi="宋体" w:eastAsia="仿宋_GB2312" w:cs="Times New Roman"/>
          <w:sz w:val="32"/>
          <w:szCs w:val="32"/>
          <w:lang w:val="en-US" w:eastAsia="zh-CN"/>
        </w:rPr>
      </w:pPr>
      <w:r>
        <w:rPr>
          <w:rFonts w:hint="eastAsia" w:ascii="宋体" w:hAnsi="宋体" w:eastAsia="仿宋_GB2312" w:cs="Times New Roman"/>
          <w:sz w:val="32"/>
          <w:szCs w:val="32"/>
          <w:lang w:val="en-US" w:eastAsia="zh-CN"/>
        </w:rPr>
        <w:t>财政部于2021年颁布了《关于印发&lt;企业会计准则解释第15号&gt;的通知》，于2022年颁布了《企业会计准则实施问答》和《关于严格执行企业会计准则切实做好企业2022年年报工作的通知》，2023年颁布了《长期股权投资准则实施问答》。本集团已采用上述通知和实施问答编制2022年度财务报表，2021年度的比较财务报表已相应重列，具体影响如下：</w:t>
      </w:r>
    </w:p>
    <w:p>
      <w:pPr>
        <w:spacing w:line="560" w:lineRule="exact"/>
        <w:ind w:firstLine="7200" w:firstLineChars="3000"/>
        <w:rPr>
          <w:rFonts w:hint="eastAsia" w:ascii="宋体" w:hAnsi="宋体"/>
          <w:lang w:val="en-US" w:eastAsia="zh-CN"/>
        </w:rPr>
      </w:pPr>
      <w:r>
        <w:rPr>
          <w:rFonts w:hint="eastAsia" w:ascii="宋体" w:hAnsi="宋体" w:eastAsia="仿宋_GB2312" w:cs="仿宋_GB2312"/>
          <w:sz w:val="24"/>
          <w:szCs w:val="24"/>
          <w:lang w:val="en-US" w:eastAsia="zh-CN"/>
        </w:rPr>
        <w:t>单位：元</w:t>
      </w:r>
    </w:p>
    <w:tbl>
      <w:tblPr>
        <w:tblStyle w:val="11"/>
        <w:tblW w:w="8505"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57" w:type="dxa"/>
        </w:tblCellMar>
      </w:tblPr>
      <w:tblGrid>
        <w:gridCol w:w="4114"/>
        <w:gridCol w:w="2074"/>
        <w:gridCol w:w="231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57" w:type="dxa"/>
          </w:tblCellMar>
        </w:tblPrEx>
        <w:trPr>
          <w:trHeight w:val="386" w:hRule="atLeast"/>
          <w:jc w:val="center"/>
        </w:trPr>
        <w:tc>
          <w:tcPr>
            <w:tcW w:w="4114" w:type="dxa"/>
            <w:shd w:val="clear" w:color="auto" w:fill="auto"/>
            <w:vAlign w:val="center"/>
          </w:tcPr>
          <w:p>
            <w:pPr>
              <w:keepNext w:val="0"/>
              <w:keepLines w:val="0"/>
              <w:widowControl/>
              <w:suppressLineNumbers w:val="0"/>
              <w:jc w:val="center"/>
              <w:textAlignment w:val="center"/>
              <w:rPr>
                <w:rFonts w:hint="eastAsia" w:ascii="宋体" w:hAnsi="宋体" w:eastAsia="仿宋_GB2312" w:cs="仿宋_GB2312"/>
                <w:b/>
                <w:bCs/>
                <w:i w:val="0"/>
                <w:iCs w:val="0"/>
                <w:color w:val="000000"/>
                <w:kern w:val="0"/>
                <w:sz w:val="21"/>
                <w:szCs w:val="21"/>
                <w:u w:val="none"/>
                <w:lang w:val="en-US" w:eastAsia="zh-CN" w:bidi="ar"/>
              </w:rPr>
            </w:pPr>
            <w:r>
              <w:rPr>
                <w:rFonts w:hint="eastAsia" w:ascii="宋体" w:hAnsi="宋体" w:eastAsia="仿宋_GB2312" w:cs="仿宋_GB2312"/>
                <w:b/>
                <w:bCs/>
                <w:i w:val="0"/>
                <w:iCs w:val="0"/>
                <w:color w:val="000000"/>
                <w:kern w:val="0"/>
                <w:sz w:val="21"/>
                <w:szCs w:val="21"/>
                <w:u w:val="none"/>
                <w:lang w:val="en-GB" w:eastAsia="zh-CN" w:bidi="ar"/>
              </w:rPr>
              <w:t>会计政策变更的内容和原因</w:t>
            </w:r>
          </w:p>
        </w:tc>
        <w:tc>
          <w:tcPr>
            <w:tcW w:w="2074" w:type="dxa"/>
            <w:shd w:val="clear" w:color="auto" w:fill="auto"/>
            <w:vAlign w:val="center"/>
          </w:tcPr>
          <w:p>
            <w:pPr>
              <w:keepNext w:val="0"/>
              <w:keepLines w:val="0"/>
              <w:widowControl/>
              <w:suppressLineNumbers w:val="0"/>
              <w:jc w:val="center"/>
              <w:textAlignment w:val="center"/>
              <w:rPr>
                <w:rFonts w:hint="eastAsia" w:ascii="宋体" w:hAnsi="宋体" w:eastAsia="仿宋_GB2312" w:cs="仿宋_GB2312"/>
                <w:b/>
                <w:bCs/>
                <w:i w:val="0"/>
                <w:iCs w:val="0"/>
                <w:color w:val="000000"/>
                <w:kern w:val="0"/>
                <w:sz w:val="21"/>
                <w:szCs w:val="21"/>
                <w:u w:val="none"/>
                <w:lang w:val="en-US" w:eastAsia="zh-CN" w:bidi="ar"/>
              </w:rPr>
            </w:pPr>
            <w:r>
              <w:rPr>
                <w:rFonts w:hint="eastAsia" w:ascii="宋体" w:hAnsi="宋体" w:eastAsia="仿宋_GB2312" w:cs="仿宋_GB2312"/>
                <w:b/>
                <w:bCs/>
                <w:i w:val="0"/>
                <w:iCs w:val="0"/>
                <w:color w:val="000000"/>
                <w:kern w:val="0"/>
                <w:sz w:val="21"/>
                <w:szCs w:val="21"/>
                <w:u w:val="none"/>
                <w:lang w:val="en-US" w:eastAsia="zh-CN" w:bidi="ar"/>
              </w:rPr>
              <w:t>受影响的报表项目</w:t>
            </w:r>
          </w:p>
        </w:tc>
        <w:tc>
          <w:tcPr>
            <w:tcW w:w="2317" w:type="dxa"/>
            <w:shd w:val="clear" w:color="auto" w:fill="auto"/>
            <w:vAlign w:val="center"/>
          </w:tcPr>
          <w:p>
            <w:pPr>
              <w:keepNext w:val="0"/>
              <w:keepLines w:val="0"/>
              <w:widowControl/>
              <w:suppressLineNumbers w:val="0"/>
              <w:jc w:val="center"/>
              <w:textAlignment w:val="center"/>
              <w:rPr>
                <w:rFonts w:hint="eastAsia" w:ascii="宋体" w:hAnsi="宋体" w:eastAsia="仿宋_GB2312" w:cs="仿宋_GB2312"/>
                <w:b/>
                <w:bCs/>
                <w:i w:val="0"/>
                <w:iCs w:val="0"/>
                <w:color w:val="000000"/>
                <w:kern w:val="0"/>
                <w:sz w:val="21"/>
                <w:szCs w:val="21"/>
                <w:u w:val="none"/>
                <w:lang w:val="en-US" w:eastAsia="zh-CN" w:bidi="ar"/>
              </w:rPr>
            </w:pPr>
            <w:r>
              <w:rPr>
                <w:rFonts w:hint="eastAsia" w:ascii="宋体" w:hAnsi="宋体" w:eastAsia="仿宋_GB2312" w:cs="仿宋_GB2312"/>
                <w:b/>
                <w:bCs/>
                <w:i w:val="0"/>
                <w:iCs w:val="0"/>
                <w:color w:val="000000"/>
                <w:kern w:val="0"/>
                <w:sz w:val="21"/>
                <w:szCs w:val="21"/>
                <w:u w:val="none"/>
                <w:lang w:val="en-US" w:eastAsia="zh-CN" w:bidi="ar"/>
              </w:rPr>
              <w:t>2021年度影响金额</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57" w:type="dxa"/>
          </w:tblCellMar>
        </w:tblPrEx>
        <w:trPr>
          <w:trHeight w:val="738" w:hRule="atLeast"/>
          <w:jc w:val="center"/>
        </w:trPr>
        <w:tc>
          <w:tcPr>
            <w:tcW w:w="411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宋体" w:hAnsi="宋体" w:eastAsia="仿宋_GB2312" w:cs="仿宋_GB2312"/>
                <w:i w:val="0"/>
                <w:iCs w:val="0"/>
                <w:color w:val="000000"/>
                <w:kern w:val="0"/>
                <w:sz w:val="21"/>
                <w:szCs w:val="21"/>
                <w:u w:val="none"/>
                <w:lang w:val="en-US" w:eastAsia="zh-CN" w:bidi="ar"/>
              </w:rPr>
            </w:pPr>
            <w:r>
              <w:rPr>
                <w:rFonts w:hint="eastAsia" w:ascii="宋体" w:hAnsi="宋体" w:eastAsia="仿宋_GB2312" w:cs="仿宋_GB2312"/>
                <w:i w:val="0"/>
                <w:iCs w:val="0"/>
                <w:color w:val="000000"/>
                <w:kern w:val="0"/>
                <w:sz w:val="21"/>
                <w:szCs w:val="21"/>
                <w:u w:val="none"/>
                <w:lang w:val="en-US" w:eastAsia="zh-CN" w:bidi="ar"/>
              </w:rPr>
              <w:t>本集团向联营企业提供施工服务，在编制合并财务报表时，本集团在公司财务报表抵销的基础上，将上述顺流交易产生的未实现内部交易损益中按照持股比例计算的归属于本集团的部分，相应抵减营业收入及营业成本，并调整投资收益。</w:t>
            </w:r>
          </w:p>
        </w:tc>
        <w:tc>
          <w:tcPr>
            <w:tcW w:w="2074" w:type="dxa"/>
            <w:shd w:val="clear" w:color="auto" w:fill="auto"/>
            <w:vAlign w:val="center"/>
          </w:tcPr>
          <w:p>
            <w:pPr>
              <w:keepNext w:val="0"/>
              <w:keepLines w:val="0"/>
              <w:widowControl/>
              <w:suppressLineNumbers w:val="0"/>
              <w:jc w:val="both"/>
              <w:textAlignment w:val="center"/>
              <w:rPr>
                <w:rFonts w:hint="eastAsia" w:ascii="宋体" w:hAnsi="宋体" w:eastAsia="仿宋_GB2312" w:cs="仿宋_GB2312"/>
                <w:i w:val="0"/>
                <w:iCs w:val="0"/>
                <w:color w:val="000000"/>
                <w:kern w:val="0"/>
                <w:sz w:val="21"/>
                <w:szCs w:val="21"/>
                <w:u w:val="none"/>
                <w:lang w:val="en-US" w:eastAsia="zh-CN" w:bidi="ar"/>
              </w:rPr>
            </w:pPr>
            <w:r>
              <w:rPr>
                <w:rFonts w:hint="eastAsia" w:ascii="宋体" w:hAnsi="宋体" w:eastAsia="仿宋_GB2312" w:cs="仿宋_GB2312"/>
                <w:i w:val="0"/>
                <w:iCs w:val="0"/>
                <w:color w:val="000000"/>
                <w:kern w:val="0"/>
                <w:sz w:val="21"/>
                <w:szCs w:val="21"/>
                <w:u w:val="none"/>
                <w:lang w:val="en-US" w:eastAsia="zh-CN" w:bidi="ar"/>
              </w:rPr>
              <w:t>营业收入</w:t>
            </w:r>
          </w:p>
        </w:tc>
        <w:tc>
          <w:tcPr>
            <w:tcW w:w="2317" w:type="dxa"/>
            <w:shd w:val="clear" w:color="auto" w:fill="auto"/>
            <w:vAlign w:val="center"/>
          </w:tcPr>
          <w:p>
            <w:pPr>
              <w:keepNext w:val="0"/>
              <w:keepLines w:val="0"/>
              <w:widowControl/>
              <w:suppressLineNumbers w:val="0"/>
              <w:jc w:val="right"/>
              <w:textAlignment w:val="center"/>
              <w:rPr>
                <w:rFonts w:hint="default" w:ascii="宋体" w:hAnsi="宋体" w:eastAsia="宋体" w:cs="Times New Roman"/>
                <w:i w:val="0"/>
                <w:iCs w:val="0"/>
                <w:color w:val="000000"/>
                <w:kern w:val="0"/>
                <w:sz w:val="21"/>
                <w:szCs w:val="21"/>
                <w:u w:val="none"/>
                <w:lang w:val="en-US" w:eastAsia="zh-CN" w:bidi="ar"/>
              </w:rPr>
            </w:pPr>
            <w:r>
              <w:rPr>
                <w:rFonts w:hint="default" w:ascii="宋体" w:hAnsi="宋体" w:eastAsia="宋体" w:cs="Times New Roman"/>
                <w:i w:val="0"/>
                <w:iCs w:val="0"/>
                <w:color w:val="000000"/>
                <w:kern w:val="0"/>
                <w:sz w:val="21"/>
                <w:szCs w:val="21"/>
                <w:u w:val="none"/>
                <w:lang w:val="en-US" w:eastAsia="zh-CN" w:bidi="ar"/>
              </w:rPr>
              <w:t>-176,696,803.00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57" w:type="dxa"/>
          </w:tblCellMar>
        </w:tblPrEx>
        <w:trPr>
          <w:trHeight w:val="855" w:hRule="atLeast"/>
          <w:jc w:val="center"/>
        </w:trPr>
        <w:tc>
          <w:tcPr>
            <w:tcW w:w="4114" w:type="dxa"/>
            <w:vMerge w:val="continue"/>
            <w:shd w:val="clear" w:color="auto" w:fill="auto"/>
            <w:vAlign w:val="center"/>
          </w:tcPr>
          <w:p>
            <w:pPr>
              <w:keepNext w:val="0"/>
              <w:keepLines w:val="0"/>
              <w:widowControl/>
              <w:suppressLineNumbers w:val="0"/>
              <w:jc w:val="both"/>
              <w:textAlignment w:val="center"/>
              <w:rPr>
                <w:rFonts w:hint="eastAsia" w:ascii="宋体" w:hAnsi="宋体" w:eastAsia="仿宋_GB2312" w:cs="仿宋_GB2312"/>
                <w:i w:val="0"/>
                <w:iCs w:val="0"/>
                <w:color w:val="000000"/>
                <w:kern w:val="0"/>
                <w:sz w:val="21"/>
                <w:szCs w:val="21"/>
                <w:u w:val="none"/>
                <w:lang w:val="en-US" w:eastAsia="zh-CN" w:bidi="ar"/>
              </w:rPr>
            </w:pPr>
          </w:p>
        </w:tc>
        <w:tc>
          <w:tcPr>
            <w:tcW w:w="2074" w:type="dxa"/>
            <w:shd w:val="clear" w:color="auto" w:fill="auto"/>
            <w:vAlign w:val="center"/>
          </w:tcPr>
          <w:p>
            <w:pPr>
              <w:keepNext w:val="0"/>
              <w:keepLines w:val="0"/>
              <w:widowControl/>
              <w:suppressLineNumbers w:val="0"/>
              <w:jc w:val="both"/>
              <w:textAlignment w:val="center"/>
              <w:rPr>
                <w:rFonts w:hint="eastAsia" w:ascii="宋体" w:hAnsi="宋体" w:eastAsia="仿宋_GB2312" w:cs="仿宋_GB2312"/>
                <w:i w:val="0"/>
                <w:iCs w:val="0"/>
                <w:color w:val="000000"/>
                <w:kern w:val="0"/>
                <w:sz w:val="21"/>
                <w:szCs w:val="21"/>
                <w:u w:val="none"/>
                <w:lang w:val="en-US" w:eastAsia="zh-CN" w:bidi="ar"/>
              </w:rPr>
            </w:pPr>
            <w:r>
              <w:rPr>
                <w:rFonts w:hint="eastAsia" w:ascii="宋体" w:hAnsi="宋体" w:eastAsia="仿宋_GB2312" w:cs="仿宋_GB2312"/>
                <w:i w:val="0"/>
                <w:iCs w:val="0"/>
                <w:color w:val="000000"/>
                <w:kern w:val="0"/>
                <w:sz w:val="21"/>
                <w:szCs w:val="21"/>
                <w:u w:val="none"/>
                <w:lang w:val="en-US" w:eastAsia="zh-CN" w:bidi="ar"/>
              </w:rPr>
              <w:t>营业成本</w:t>
            </w:r>
          </w:p>
        </w:tc>
        <w:tc>
          <w:tcPr>
            <w:tcW w:w="2317" w:type="dxa"/>
            <w:shd w:val="clear" w:color="auto" w:fill="auto"/>
            <w:vAlign w:val="center"/>
          </w:tcPr>
          <w:p>
            <w:pPr>
              <w:keepNext w:val="0"/>
              <w:keepLines w:val="0"/>
              <w:widowControl/>
              <w:suppressLineNumbers w:val="0"/>
              <w:jc w:val="right"/>
              <w:textAlignment w:val="center"/>
              <w:rPr>
                <w:rFonts w:hint="default" w:ascii="宋体" w:hAnsi="宋体" w:eastAsia="宋体" w:cs="Times New Roman"/>
                <w:i w:val="0"/>
                <w:iCs w:val="0"/>
                <w:color w:val="000000"/>
                <w:kern w:val="0"/>
                <w:sz w:val="21"/>
                <w:szCs w:val="21"/>
                <w:u w:val="none"/>
                <w:lang w:val="en-US" w:eastAsia="zh-CN" w:bidi="ar"/>
              </w:rPr>
            </w:pPr>
            <w:r>
              <w:rPr>
                <w:rFonts w:hint="default" w:ascii="宋体" w:hAnsi="宋体" w:eastAsia="宋体" w:cs="Times New Roman"/>
                <w:i w:val="0"/>
                <w:iCs w:val="0"/>
                <w:color w:val="000000"/>
                <w:kern w:val="0"/>
                <w:sz w:val="21"/>
                <w:szCs w:val="21"/>
                <w:u w:val="none"/>
                <w:lang w:val="en-US" w:eastAsia="zh-CN" w:bidi="ar"/>
              </w:rPr>
              <w:t>-153,393,297.45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57" w:type="dxa"/>
          </w:tblCellMar>
        </w:tblPrEx>
        <w:trPr>
          <w:trHeight w:val="386" w:hRule="atLeast"/>
          <w:jc w:val="center"/>
        </w:trPr>
        <w:tc>
          <w:tcPr>
            <w:tcW w:w="4114" w:type="dxa"/>
            <w:vMerge w:val="continue"/>
            <w:shd w:val="clear" w:color="auto" w:fill="auto"/>
            <w:vAlign w:val="center"/>
          </w:tcPr>
          <w:p>
            <w:pPr>
              <w:keepNext w:val="0"/>
              <w:keepLines w:val="0"/>
              <w:widowControl/>
              <w:suppressLineNumbers w:val="0"/>
              <w:jc w:val="both"/>
              <w:textAlignment w:val="center"/>
              <w:rPr>
                <w:rFonts w:hint="eastAsia" w:ascii="宋体" w:hAnsi="宋体" w:eastAsia="仿宋_GB2312" w:cs="仿宋_GB2312"/>
                <w:i w:val="0"/>
                <w:iCs w:val="0"/>
                <w:color w:val="000000"/>
                <w:kern w:val="0"/>
                <w:sz w:val="21"/>
                <w:szCs w:val="21"/>
                <w:u w:val="none"/>
                <w:lang w:val="en-US" w:eastAsia="zh-CN" w:bidi="ar"/>
              </w:rPr>
            </w:pPr>
          </w:p>
        </w:tc>
        <w:tc>
          <w:tcPr>
            <w:tcW w:w="2074" w:type="dxa"/>
            <w:shd w:val="clear" w:color="auto" w:fill="auto"/>
            <w:vAlign w:val="center"/>
          </w:tcPr>
          <w:p>
            <w:pPr>
              <w:keepNext w:val="0"/>
              <w:keepLines w:val="0"/>
              <w:widowControl/>
              <w:suppressLineNumbers w:val="0"/>
              <w:jc w:val="both"/>
              <w:textAlignment w:val="center"/>
              <w:rPr>
                <w:rFonts w:hint="eastAsia" w:ascii="宋体" w:hAnsi="宋体" w:eastAsia="仿宋_GB2312" w:cs="仿宋_GB2312"/>
                <w:i w:val="0"/>
                <w:iCs w:val="0"/>
                <w:color w:val="000000"/>
                <w:kern w:val="0"/>
                <w:sz w:val="21"/>
                <w:szCs w:val="21"/>
                <w:u w:val="none"/>
                <w:lang w:val="en-US" w:eastAsia="zh-CN" w:bidi="ar"/>
              </w:rPr>
            </w:pPr>
            <w:r>
              <w:rPr>
                <w:rFonts w:hint="eastAsia" w:ascii="宋体" w:hAnsi="宋体" w:eastAsia="仿宋_GB2312" w:cs="仿宋_GB2312"/>
                <w:i w:val="0"/>
                <w:iCs w:val="0"/>
                <w:color w:val="000000"/>
                <w:kern w:val="0"/>
                <w:sz w:val="21"/>
                <w:szCs w:val="21"/>
                <w:u w:val="none"/>
                <w:lang w:val="en-US" w:eastAsia="zh-CN" w:bidi="ar"/>
              </w:rPr>
              <w:t>投资收益</w:t>
            </w:r>
          </w:p>
        </w:tc>
        <w:tc>
          <w:tcPr>
            <w:tcW w:w="2317" w:type="dxa"/>
            <w:shd w:val="clear" w:color="auto" w:fill="auto"/>
            <w:vAlign w:val="center"/>
          </w:tcPr>
          <w:p>
            <w:pPr>
              <w:keepNext w:val="0"/>
              <w:keepLines w:val="0"/>
              <w:widowControl/>
              <w:suppressLineNumbers w:val="0"/>
              <w:jc w:val="right"/>
              <w:textAlignment w:val="center"/>
              <w:rPr>
                <w:rFonts w:hint="default" w:ascii="宋体" w:hAnsi="宋体" w:eastAsia="宋体" w:cs="Times New Roman"/>
                <w:i w:val="0"/>
                <w:iCs w:val="0"/>
                <w:color w:val="000000"/>
                <w:kern w:val="0"/>
                <w:sz w:val="21"/>
                <w:szCs w:val="21"/>
                <w:u w:val="none"/>
                <w:lang w:val="en-US" w:eastAsia="zh-CN" w:bidi="ar"/>
              </w:rPr>
            </w:pPr>
            <w:r>
              <w:rPr>
                <w:rFonts w:hint="default" w:ascii="宋体" w:hAnsi="宋体" w:eastAsia="宋体" w:cs="Times New Roman"/>
                <w:i w:val="0"/>
                <w:iCs w:val="0"/>
                <w:color w:val="000000"/>
                <w:kern w:val="0"/>
                <w:sz w:val="21"/>
                <w:szCs w:val="21"/>
                <w:u w:val="none"/>
                <w:lang w:val="en-US" w:eastAsia="zh-CN" w:bidi="ar"/>
              </w:rPr>
              <w:t>23,303,505.55</w:t>
            </w:r>
          </w:p>
        </w:tc>
      </w:tr>
    </w:tbl>
    <w:p>
      <w:pPr>
        <w:spacing w:line="560" w:lineRule="exact"/>
        <w:ind w:firstLine="640" w:firstLineChars="200"/>
        <w:rPr>
          <w:rFonts w:hint="eastAsia" w:ascii="宋体" w:hAnsi="宋体" w:eastAsia="仿宋_GB2312" w:cs="Times New Roman"/>
          <w:sz w:val="32"/>
          <w:szCs w:val="32"/>
          <w:lang w:val="en-US" w:eastAsia="zh-CN"/>
        </w:rPr>
      </w:pPr>
      <w:r>
        <w:rPr>
          <w:rFonts w:hint="eastAsia" w:ascii="宋体" w:hAnsi="宋体" w:eastAsia="仿宋_GB2312" w:cs="Times New Roman"/>
          <w:sz w:val="32"/>
          <w:szCs w:val="32"/>
          <w:lang w:val="en-US" w:eastAsia="zh-CN"/>
        </w:rPr>
        <w:t>（2）会计估计变更及影响</w:t>
      </w:r>
    </w:p>
    <w:p>
      <w:pPr>
        <w:spacing w:line="560" w:lineRule="exact"/>
        <w:ind w:firstLine="640" w:firstLineChars="200"/>
        <w:rPr>
          <w:rFonts w:hint="eastAsia" w:ascii="宋体" w:hAnsi="宋体" w:eastAsia="仿宋_GB2312" w:cs="仿宋_GB2312"/>
          <w:sz w:val="32"/>
          <w:szCs w:val="32"/>
          <w:lang w:val="en-US" w:eastAsia="zh-CN"/>
        </w:rPr>
        <w:sectPr>
          <w:footerReference r:id="rId3" w:type="default"/>
          <w:footerReference r:id="rId4" w:type="even"/>
          <w:type w:val="continuous"/>
          <w:pgSz w:w="11907" w:h="16840"/>
          <w:pgMar w:top="1418" w:right="1701" w:bottom="1418" w:left="1701" w:header="851" w:footer="851" w:gutter="0"/>
          <w:pgNumType w:fmt="decimal" w:start="1"/>
          <w:cols w:space="720" w:num="1"/>
          <w:docGrid w:linePitch="331" w:charSpace="0"/>
        </w:sectPr>
      </w:pPr>
      <w:r>
        <w:rPr>
          <w:rFonts w:hint="eastAsia" w:ascii="宋体" w:hAnsi="宋体" w:eastAsia="仿宋_GB2312" w:cs="Times New Roman"/>
          <w:sz w:val="32"/>
          <w:szCs w:val="32"/>
          <w:lang w:val="en-US" w:eastAsia="zh-CN"/>
        </w:rPr>
        <w:t>本集团本年度无会计估计变更。</w:t>
      </w:r>
    </w:p>
    <w:p>
      <w:pPr>
        <w:spacing w:line="560" w:lineRule="exact"/>
        <w:ind w:firstLine="640" w:firstLineChars="200"/>
        <w:rPr>
          <w:rFonts w:hint="eastAsia"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4.合并财务报表主要项目注释（数据金额单位均为人民币元）</w:t>
      </w:r>
    </w:p>
    <w:p>
      <w:pPr>
        <w:numPr>
          <w:ilvl w:val="0"/>
          <w:numId w:val="0"/>
        </w:numPr>
        <w:adjustRightInd w:val="0"/>
        <w:spacing w:before="120" w:beforeLines="50" w:after="120" w:afterLines="50" w:line="360" w:lineRule="exact"/>
        <w:ind w:firstLine="640" w:firstLineChars="200"/>
        <w:jc w:val="both"/>
        <w:outlineLvl w:val="1"/>
        <w:rPr>
          <w:rFonts w:hint="default"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 xml:space="preserve">（1）应收账款 </w:t>
      </w:r>
    </w:p>
    <w:tbl>
      <w:tblPr>
        <w:tblStyle w:val="11"/>
        <w:tblW w:w="5268" w:type="pct"/>
        <w:jc w:val="center"/>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autofit"/>
        <w:tblCellMar>
          <w:top w:w="28" w:type="dxa"/>
          <w:left w:w="108" w:type="dxa"/>
          <w:bottom w:w="28" w:type="dxa"/>
          <w:right w:w="108" w:type="dxa"/>
        </w:tblCellMar>
      </w:tblPr>
      <w:tblGrid>
        <w:gridCol w:w="1784"/>
        <w:gridCol w:w="2015"/>
        <w:gridCol w:w="902"/>
        <w:gridCol w:w="1911"/>
        <w:gridCol w:w="1022"/>
        <w:gridCol w:w="1913"/>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86" w:hRule="atLeast"/>
          <w:tblHeader/>
          <w:jc w:val="center"/>
        </w:trPr>
        <w:tc>
          <w:tcPr>
            <w:tcW w:w="935" w:type="pct"/>
            <w:vMerge w:val="restart"/>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类别</w:t>
            </w:r>
          </w:p>
        </w:tc>
        <w:tc>
          <w:tcPr>
            <w:tcW w:w="4064" w:type="pct"/>
            <w:gridSpan w:val="5"/>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年末余额</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86" w:hRule="atLeast"/>
          <w:tblHeader/>
          <w:jc w:val="center"/>
        </w:trPr>
        <w:tc>
          <w:tcPr>
            <w:tcW w:w="935" w:type="pct"/>
            <w:vMerge w:val="continue"/>
            <w:noWrap w:val="0"/>
            <w:vAlign w:val="center"/>
          </w:tcPr>
          <w:p>
            <w:pPr>
              <w:jc w:val="center"/>
              <w:rPr>
                <w:rFonts w:hint="eastAsia" w:ascii="宋体" w:hAnsi="宋体" w:eastAsia="仿宋_GB2312" w:cs="宋体"/>
                <w:b/>
                <w:szCs w:val="22"/>
              </w:rPr>
            </w:pPr>
          </w:p>
        </w:tc>
        <w:tc>
          <w:tcPr>
            <w:tcW w:w="1528" w:type="pct"/>
            <w:gridSpan w:val="2"/>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账面余额</w:t>
            </w:r>
          </w:p>
        </w:tc>
        <w:tc>
          <w:tcPr>
            <w:tcW w:w="1535" w:type="pct"/>
            <w:gridSpan w:val="2"/>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坏账准备</w:t>
            </w:r>
          </w:p>
        </w:tc>
        <w:tc>
          <w:tcPr>
            <w:tcW w:w="1000" w:type="pct"/>
            <w:vMerge w:val="restart"/>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账面价值</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86" w:hRule="atLeast"/>
          <w:tblHeader/>
          <w:jc w:val="center"/>
        </w:trPr>
        <w:tc>
          <w:tcPr>
            <w:tcW w:w="935" w:type="pct"/>
            <w:vMerge w:val="continue"/>
            <w:noWrap w:val="0"/>
            <w:vAlign w:val="center"/>
          </w:tcPr>
          <w:p>
            <w:pPr>
              <w:jc w:val="center"/>
              <w:rPr>
                <w:rFonts w:hint="eastAsia" w:ascii="宋体" w:hAnsi="宋体" w:eastAsia="仿宋_GB2312" w:cs="宋体"/>
                <w:b/>
                <w:szCs w:val="22"/>
              </w:rPr>
            </w:pPr>
          </w:p>
        </w:tc>
        <w:tc>
          <w:tcPr>
            <w:tcW w:w="1055" w:type="pct"/>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金额</w:t>
            </w:r>
          </w:p>
        </w:tc>
        <w:tc>
          <w:tcPr>
            <w:tcW w:w="473" w:type="pct"/>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比例（%）</w:t>
            </w:r>
          </w:p>
        </w:tc>
        <w:tc>
          <w:tcPr>
            <w:tcW w:w="1000" w:type="pct"/>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金额</w:t>
            </w:r>
          </w:p>
        </w:tc>
        <w:tc>
          <w:tcPr>
            <w:tcW w:w="534" w:type="pct"/>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预期信用损失率（%）</w:t>
            </w:r>
          </w:p>
        </w:tc>
        <w:tc>
          <w:tcPr>
            <w:tcW w:w="1000" w:type="pct"/>
            <w:vMerge w:val="continue"/>
            <w:noWrap w:val="0"/>
            <w:vAlign w:val="center"/>
          </w:tcPr>
          <w:p>
            <w:pPr>
              <w:jc w:val="center"/>
              <w:rPr>
                <w:rFonts w:hint="eastAsia" w:ascii="宋体" w:hAnsi="宋体" w:eastAsia="仿宋_GB2312" w:cs="宋体"/>
                <w:b/>
                <w:szCs w:val="22"/>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86" w:hRule="atLeast"/>
          <w:jc w:val="center"/>
        </w:trPr>
        <w:tc>
          <w:tcPr>
            <w:tcW w:w="1787"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按单项计提坏账准备的应收账款</w:t>
            </w:r>
          </w:p>
        </w:tc>
        <w:tc>
          <w:tcPr>
            <w:tcW w:w="2015"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1,990,382,487.54</w:t>
            </w:r>
          </w:p>
        </w:tc>
        <w:tc>
          <w:tcPr>
            <w:tcW w:w="904"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19.10</w:t>
            </w:r>
          </w:p>
        </w:tc>
        <w:tc>
          <w:tcPr>
            <w:tcW w:w="1910"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1,983,491,052.33</w:t>
            </w:r>
          </w:p>
        </w:tc>
        <w:tc>
          <w:tcPr>
            <w:tcW w:w="1021"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99.65</w:t>
            </w:r>
          </w:p>
        </w:tc>
        <w:tc>
          <w:tcPr>
            <w:tcW w:w="1910"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6,891,435.21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86" w:hRule="atLeast"/>
          <w:jc w:val="center"/>
        </w:trPr>
        <w:tc>
          <w:tcPr>
            <w:tcW w:w="1787"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按组合计提坏账准备的应收账款</w:t>
            </w:r>
          </w:p>
        </w:tc>
        <w:tc>
          <w:tcPr>
            <w:tcW w:w="2015"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8,431,072,629.88</w:t>
            </w:r>
          </w:p>
        </w:tc>
        <w:tc>
          <w:tcPr>
            <w:tcW w:w="904"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80.90</w:t>
            </w:r>
          </w:p>
        </w:tc>
        <w:tc>
          <w:tcPr>
            <w:tcW w:w="1910"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963,100,284.64</w:t>
            </w:r>
          </w:p>
        </w:tc>
        <w:tc>
          <w:tcPr>
            <w:tcW w:w="1021"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11.42</w:t>
            </w:r>
          </w:p>
        </w:tc>
        <w:tc>
          <w:tcPr>
            <w:tcW w:w="1910"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7,467,972,345.24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86" w:hRule="atLeast"/>
          <w:jc w:val="center"/>
        </w:trPr>
        <w:tc>
          <w:tcPr>
            <w:tcW w:w="1787"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其中：港口业务款组合</w:t>
            </w:r>
          </w:p>
        </w:tc>
        <w:tc>
          <w:tcPr>
            <w:tcW w:w="2015"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3,851,322,476.65</w:t>
            </w:r>
          </w:p>
        </w:tc>
        <w:tc>
          <w:tcPr>
            <w:tcW w:w="904"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36.95</w:t>
            </w:r>
          </w:p>
        </w:tc>
        <w:tc>
          <w:tcPr>
            <w:tcW w:w="1910"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419,265,567.01</w:t>
            </w:r>
          </w:p>
        </w:tc>
        <w:tc>
          <w:tcPr>
            <w:tcW w:w="1021"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10.89</w:t>
            </w:r>
          </w:p>
        </w:tc>
        <w:tc>
          <w:tcPr>
            <w:tcW w:w="1910"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3,432,056,909.64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86" w:hRule="atLeast"/>
          <w:jc w:val="center"/>
        </w:trPr>
        <w:tc>
          <w:tcPr>
            <w:tcW w:w="1787"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工程业务款组合</w:t>
            </w:r>
          </w:p>
        </w:tc>
        <w:tc>
          <w:tcPr>
            <w:tcW w:w="2015"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2,599,870,677.62</w:t>
            </w:r>
          </w:p>
        </w:tc>
        <w:tc>
          <w:tcPr>
            <w:tcW w:w="904"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24.95</w:t>
            </w:r>
          </w:p>
        </w:tc>
        <w:tc>
          <w:tcPr>
            <w:tcW w:w="1910"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387,968,377.46</w:t>
            </w:r>
          </w:p>
        </w:tc>
        <w:tc>
          <w:tcPr>
            <w:tcW w:w="1021"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14.92</w:t>
            </w:r>
          </w:p>
        </w:tc>
        <w:tc>
          <w:tcPr>
            <w:tcW w:w="1910"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2,211,902,300.16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86" w:hRule="atLeast"/>
          <w:jc w:val="center"/>
        </w:trPr>
        <w:tc>
          <w:tcPr>
            <w:tcW w:w="1787"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贸易业务款组合</w:t>
            </w:r>
          </w:p>
        </w:tc>
        <w:tc>
          <w:tcPr>
            <w:tcW w:w="2015"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1,979,879,475.61</w:t>
            </w:r>
          </w:p>
        </w:tc>
        <w:tc>
          <w:tcPr>
            <w:tcW w:w="904"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19.00</w:t>
            </w:r>
          </w:p>
        </w:tc>
        <w:tc>
          <w:tcPr>
            <w:tcW w:w="1910"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155,866,340.17</w:t>
            </w:r>
          </w:p>
        </w:tc>
        <w:tc>
          <w:tcPr>
            <w:tcW w:w="1021"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7.87</w:t>
            </w:r>
          </w:p>
        </w:tc>
        <w:tc>
          <w:tcPr>
            <w:tcW w:w="1910" w:type="dxa"/>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1,824,013,135.44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86" w:hRule="atLeast"/>
          <w:jc w:val="center"/>
        </w:trPr>
        <w:tc>
          <w:tcPr>
            <w:tcW w:w="1787"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其他组合</w:t>
            </w:r>
          </w:p>
        </w:tc>
        <w:tc>
          <w:tcPr>
            <w:tcW w:w="1055" w:type="pct"/>
            <w:noWrap w:val="0"/>
            <w:vAlign w:val="center"/>
          </w:tcPr>
          <w:p>
            <w:pPr>
              <w:jc w:val="right"/>
              <w:rPr>
                <w:rFonts w:hint="eastAsia" w:ascii="宋体" w:hAnsi="宋体" w:eastAsia="宋体" w:cs="Times New Roman"/>
                <w:b w:val="0"/>
                <w:bCs w:val="0"/>
                <w:color w:val="000000"/>
                <w:szCs w:val="22"/>
              </w:rPr>
            </w:pPr>
          </w:p>
        </w:tc>
        <w:tc>
          <w:tcPr>
            <w:tcW w:w="473" w:type="pct"/>
            <w:noWrap w:val="0"/>
            <w:vAlign w:val="center"/>
          </w:tcPr>
          <w:p>
            <w:pPr>
              <w:jc w:val="right"/>
              <w:rPr>
                <w:rFonts w:hint="eastAsia" w:ascii="宋体" w:hAnsi="宋体" w:eastAsia="宋体" w:cs="Times New Roman"/>
                <w:b w:val="0"/>
                <w:bCs w:val="0"/>
                <w:color w:val="000000"/>
                <w:szCs w:val="22"/>
              </w:rPr>
            </w:pPr>
          </w:p>
        </w:tc>
        <w:tc>
          <w:tcPr>
            <w:tcW w:w="1000" w:type="pct"/>
            <w:noWrap w:val="0"/>
            <w:vAlign w:val="center"/>
          </w:tcPr>
          <w:p>
            <w:pPr>
              <w:jc w:val="right"/>
              <w:rPr>
                <w:rFonts w:hint="eastAsia" w:ascii="宋体" w:hAnsi="宋体" w:eastAsia="宋体" w:cs="Times New Roman"/>
                <w:b w:val="0"/>
                <w:bCs w:val="0"/>
                <w:color w:val="000000"/>
                <w:szCs w:val="22"/>
              </w:rPr>
            </w:pPr>
          </w:p>
        </w:tc>
        <w:tc>
          <w:tcPr>
            <w:tcW w:w="534" w:type="pct"/>
            <w:noWrap w:val="0"/>
            <w:vAlign w:val="center"/>
          </w:tcPr>
          <w:p>
            <w:pPr>
              <w:jc w:val="right"/>
              <w:rPr>
                <w:rFonts w:hint="eastAsia" w:ascii="宋体" w:hAnsi="宋体" w:eastAsia="宋体" w:cs="Times New Roman"/>
                <w:b w:val="0"/>
                <w:bCs w:val="0"/>
                <w:color w:val="000000"/>
                <w:szCs w:val="22"/>
              </w:rPr>
            </w:pPr>
          </w:p>
        </w:tc>
        <w:tc>
          <w:tcPr>
            <w:tcW w:w="1000" w:type="pct"/>
            <w:noWrap w:val="0"/>
            <w:vAlign w:val="center"/>
          </w:tcPr>
          <w:p>
            <w:pPr>
              <w:jc w:val="right"/>
              <w:rPr>
                <w:rFonts w:hint="eastAsia" w:ascii="宋体" w:hAnsi="宋体" w:eastAsia="宋体" w:cs="Times New Roman"/>
                <w:b w:val="0"/>
                <w:bCs w:val="0"/>
                <w:color w:val="000000"/>
                <w:szCs w:val="22"/>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28" w:type="dxa"/>
            <w:left w:w="108" w:type="dxa"/>
            <w:bottom w:w="28" w:type="dxa"/>
            <w:right w:w="108" w:type="dxa"/>
          </w:tblCellMar>
        </w:tblPrEx>
        <w:trPr>
          <w:trHeight w:val="386" w:hRule="atLeast"/>
          <w:jc w:val="center"/>
        </w:trPr>
        <w:tc>
          <w:tcPr>
            <w:tcW w:w="935" w:type="pct"/>
            <w:noWrap w:val="0"/>
            <w:vAlign w:val="center"/>
          </w:tcPr>
          <w:p>
            <w:pPr>
              <w:jc w:val="center"/>
              <w:rPr>
                <w:rFonts w:hint="eastAsia" w:ascii="宋体" w:hAnsi="宋体" w:eastAsia="仿宋_GB2312" w:cs="Times New Roman"/>
                <w:szCs w:val="22"/>
              </w:rPr>
            </w:pPr>
            <w:r>
              <w:rPr>
                <w:rFonts w:hint="eastAsia" w:ascii="宋体" w:hAnsi="宋体" w:eastAsia="仿宋_GB2312" w:cs="Times New Roman"/>
                <w:b/>
                <w:bCs/>
                <w:szCs w:val="22"/>
              </w:rPr>
              <w:t>合</w:t>
            </w:r>
            <w:r>
              <w:rPr>
                <w:rFonts w:hint="eastAsia" w:ascii="宋体" w:hAnsi="宋体" w:eastAsia="仿宋_GB2312" w:cs="Times New Roman"/>
                <w:b/>
                <w:bCs/>
                <w:szCs w:val="22"/>
                <w:lang w:val="en-US" w:eastAsia="zh-CN"/>
              </w:rPr>
              <w:t xml:space="preserve"> </w:t>
            </w:r>
            <w:r>
              <w:rPr>
                <w:rFonts w:hint="eastAsia" w:ascii="宋体" w:hAnsi="宋体" w:eastAsia="仿宋_GB2312" w:cs="Times New Roman"/>
                <w:b/>
                <w:bCs/>
                <w:szCs w:val="22"/>
              </w:rPr>
              <w:t>计</w:t>
            </w:r>
          </w:p>
        </w:tc>
        <w:tc>
          <w:tcPr>
            <w:tcW w:w="1055" w:type="pct"/>
            <w:noWrap w:val="0"/>
            <w:vAlign w:val="center"/>
          </w:tcPr>
          <w:p>
            <w:pPr>
              <w:jc w:val="right"/>
              <w:rPr>
                <w:rFonts w:hint="eastAsia" w:ascii="宋体" w:hAnsi="宋体" w:eastAsia="宋体" w:cs="Times New Roman"/>
                <w:b/>
                <w:bCs/>
                <w:color w:val="000000"/>
                <w:szCs w:val="22"/>
              </w:rPr>
            </w:pPr>
            <w:r>
              <w:rPr>
                <w:rFonts w:hint="eastAsia" w:ascii="宋体" w:hAnsi="宋体" w:eastAsia="宋体" w:cs="Times New Roman"/>
                <w:b/>
                <w:bCs/>
                <w:color w:val="000000"/>
                <w:szCs w:val="22"/>
              </w:rPr>
              <w:t>10,421,455,117.42</w:t>
            </w:r>
          </w:p>
        </w:tc>
        <w:tc>
          <w:tcPr>
            <w:tcW w:w="473" w:type="pct"/>
            <w:noWrap w:val="0"/>
            <w:vAlign w:val="center"/>
          </w:tcPr>
          <w:p>
            <w:pPr>
              <w:jc w:val="right"/>
              <w:rPr>
                <w:rFonts w:hint="eastAsia" w:ascii="宋体" w:hAnsi="宋体" w:eastAsia="宋体" w:cs="Times New Roman"/>
                <w:b/>
                <w:bCs/>
                <w:color w:val="000000"/>
                <w:szCs w:val="22"/>
              </w:rPr>
            </w:pPr>
          </w:p>
        </w:tc>
        <w:tc>
          <w:tcPr>
            <w:tcW w:w="1000" w:type="pct"/>
            <w:noWrap w:val="0"/>
            <w:vAlign w:val="center"/>
          </w:tcPr>
          <w:p>
            <w:pPr>
              <w:jc w:val="right"/>
              <w:rPr>
                <w:rFonts w:hint="eastAsia" w:ascii="宋体" w:hAnsi="宋体" w:eastAsia="宋体" w:cs="Times New Roman"/>
                <w:b/>
                <w:bCs/>
                <w:color w:val="000000"/>
                <w:szCs w:val="22"/>
              </w:rPr>
            </w:pPr>
            <w:r>
              <w:rPr>
                <w:rFonts w:hint="eastAsia" w:ascii="宋体" w:hAnsi="宋体" w:eastAsia="宋体" w:cs="Times New Roman"/>
                <w:b/>
                <w:bCs/>
                <w:color w:val="000000"/>
                <w:szCs w:val="22"/>
              </w:rPr>
              <w:t>2,946,591,336.97</w:t>
            </w:r>
          </w:p>
        </w:tc>
        <w:tc>
          <w:tcPr>
            <w:tcW w:w="534" w:type="pct"/>
            <w:noWrap w:val="0"/>
            <w:vAlign w:val="center"/>
          </w:tcPr>
          <w:p>
            <w:pPr>
              <w:jc w:val="right"/>
              <w:rPr>
                <w:rFonts w:hint="eastAsia" w:ascii="宋体" w:hAnsi="宋体" w:eastAsia="宋体" w:cs="Times New Roman"/>
                <w:b/>
                <w:bCs/>
                <w:color w:val="000000"/>
                <w:szCs w:val="22"/>
              </w:rPr>
            </w:pPr>
          </w:p>
        </w:tc>
        <w:tc>
          <w:tcPr>
            <w:tcW w:w="1000" w:type="pct"/>
            <w:noWrap w:val="0"/>
            <w:vAlign w:val="center"/>
          </w:tcPr>
          <w:p>
            <w:pPr>
              <w:jc w:val="right"/>
              <w:rPr>
                <w:rFonts w:hint="eastAsia" w:ascii="宋体" w:hAnsi="宋体" w:eastAsia="宋体" w:cs="Times New Roman"/>
                <w:b/>
                <w:bCs/>
                <w:color w:val="000000"/>
                <w:szCs w:val="22"/>
              </w:rPr>
            </w:pPr>
            <w:r>
              <w:rPr>
                <w:rFonts w:hint="eastAsia" w:ascii="宋体" w:hAnsi="宋体" w:eastAsia="宋体" w:cs="Times New Roman"/>
                <w:b/>
                <w:bCs/>
                <w:color w:val="000000"/>
                <w:szCs w:val="22"/>
              </w:rPr>
              <w:t>7,474,863,780.45</w:t>
            </w:r>
          </w:p>
        </w:tc>
      </w:tr>
    </w:tbl>
    <w:tbl>
      <w:tblPr>
        <w:tblStyle w:val="11"/>
        <w:tblpPr w:leftFromText="180" w:rightFromText="180" w:vertAnchor="text" w:horzAnchor="page" w:tblpXSpec="center" w:tblpY="354"/>
        <w:tblOverlap w:val="never"/>
        <w:tblW w:w="5304"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2039"/>
        <w:gridCol w:w="898"/>
        <w:gridCol w:w="1937"/>
        <w:gridCol w:w="958"/>
        <w:gridCol w:w="193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blHeader/>
          <w:jc w:val="center"/>
        </w:trPr>
        <w:tc>
          <w:tcPr>
            <w:tcW w:w="959" w:type="pct"/>
            <w:vMerge w:val="restart"/>
            <w:noWrap w:val="0"/>
            <w:vAlign w:val="center"/>
          </w:tcPr>
          <w:p>
            <w:pPr>
              <w:spacing w:line="240" w:lineRule="auto"/>
              <w:jc w:val="center"/>
              <w:rPr>
                <w:rFonts w:hint="eastAsia" w:ascii="宋体" w:hAnsi="宋体"/>
                <w:b/>
                <w:spacing w:val="-14"/>
                <w:w w:val="90"/>
                <w:sz w:val="20"/>
              </w:rPr>
            </w:pPr>
            <w:r>
              <w:rPr>
                <w:rFonts w:hint="eastAsia" w:ascii="宋体" w:hAnsi="宋体" w:eastAsia="仿宋_GB2312" w:cs="宋体"/>
                <w:b/>
                <w:szCs w:val="22"/>
              </w:rPr>
              <w:t>类别</w:t>
            </w:r>
          </w:p>
        </w:tc>
        <w:tc>
          <w:tcPr>
            <w:tcW w:w="4040" w:type="pct"/>
            <w:gridSpan w:val="5"/>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年初余额</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blHeader/>
          <w:jc w:val="center"/>
        </w:trPr>
        <w:tc>
          <w:tcPr>
            <w:tcW w:w="959" w:type="pct"/>
            <w:vMerge w:val="continue"/>
            <w:noWrap w:val="0"/>
            <w:vAlign w:val="center"/>
          </w:tcPr>
          <w:p>
            <w:pPr>
              <w:spacing w:line="240" w:lineRule="auto"/>
              <w:jc w:val="both"/>
              <w:rPr>
                <w:rFonts w:hint="eastAsia" w:ascii="宋体" w:hAnsi="宋体"/>
                <w:b/>
                <w:spacing w:val="-14"/>
                <w:w w:val="90"/>
                <w:sz w:val="20"/>
              </w:rPr>
            </w:pPr>
          </w:p>
        </w:tc>
        <w:tc>
          <w:tcPr>
            <w:tcW w:w="1527" w:type="pct"/>
            <w:gridSpan w:val="2"/>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账面余额</w:t>
            </w:r>
          </w:p>
        </w:tc>
        <w:tc>
          <w:tcPr>
            <w:tcW w:w="1505" w:type="pct"/>
            <w:gridSpan w:val="2"/>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坏账准备</w:t>
            </w:r>
          </w:p>
        </w:tc>
        <w:tc>
          <w:tcPr>
            <w:tcW w:w="1006" w:type="pct"/>
            <w:vMerge w:val="restart"/>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账面价值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blHeader/>
          <w:jc w:val="center"/>
        </w:trPr>
        <w:tc>
          <w:tcPr>
            <w:tcW w:w="959" w:type="pct"/>
            <w:vMerge w:val="continue"/>
            <w:noWrap w:val="0"/>
            <w:vAlign w:val="center"/>
          </w:tcPr>
          <w:p>
            <w:pPr>
              <w:spacing w:line="240" w:lineRule="auto"/>
              <w:jc w:val="both"/>
              <w:rPr>
                <w:rFonts w:hint="eastAsia" w:ascii="宋体" w:hAnsi="宋体"/>
                <w:b/>
                <w:spacing w:val="-14"/>
                <w:w w:val="90"/>
                <w:sz w:val="20"/>
              </w:rPr>
            </w:pPr>
          </w:p>
        </w:tc>
        <w:tc>
          <w:tcPr>
            <w:tcW w:w="1060" w:type="pct"/>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金额</w:t>
            </w:r>
          </w:p>
        </w:tc>
        <w:tc>
          <w:tcPr>
            <w:tcW w:w="467" w:type="pct"/>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比例（%）</w:t>
            </w:r>
          </w:p>
        </w:tc>
        <w:tc>
          <w:tcPr>
            <w:tcW w:w="1007" w:type="pct"/>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金额</w:t>
            </w:r>
          </w:p>
        </w:tc>
        <w:tc>
          <w:tcPr>
            <w:tcW w:w="498" w:type="pct"/>
            <w:noWrap w:val="0"/>
            <w:vAlign w:val="center"/>
          </w:tcPr>
          <w:p>
            <w:pPr>
              <w:jc w:val="center"/>
              <w:rPr>
                <w:rFonts w:hint="eastAsia" w:ascii="宋体" w:hAnsi="宋体" w:eastAsia="仿宋_GB2312" w:cs="宋体"/>
                <w:b/>
                <w:szCs w:val="22"/>
              </w:rPr>
            </w:pPr>
            <w:r>
              <w:rPr>
                <w:rFonts w:hint="eastAsia" w:ascii="宋体" w:hAnsi="宋体" w:eastAsia="仿宋_GB2312" w:cs="宋体"/>
                <w:b/>
                <w:szCs w:val="22"/>
              </w:rPr>
              <w:t>预期信用损失率（%）</w:t>
            </w:r>
          </w:p>
        </w:tc>
        <w:tc>
          <w:tcPr>
            <w:tcW w:w="1006" w:type="pct"/>
            <w:vMerge w:val="continue"/>
            <w:noWrap w:val="0"/>
            <w:vAlign w:val="center"/>
          </w:tcPr>
          <w:p>
            <w:pPr>
              <w:jc w:val="center"/>
              <w:rPr>
                <w:rFonts w:hint="eastAsia" w:ascii="宋体" w:hAnsi="宋体" w:eastAsia="仿宋_GB2312" w:cs="宋体"/>
                <w:b/>
                <w:szCs w:val="22"/>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59"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按单项计提坏账准备的应收账款</w:t>
            </w:r>
          </w:p>
        </w:tc>
        <w:tc>
          <w:tcPr>
            <w:tcW w:w="1060"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2,042,921,858.18</w:t>
            </w:r>
          </w:p>
        </w:tc>
        <w:tc>
          <w:tcPr>
            <w:tcW w:w="467"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21.38</w:t>
            </w:r>
          </w:p>
        </w:tc>
        <w:tc>
          <w:tcPr>
            <w:tcW w:w="1007"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1,988,735,433.60</w:t>
            </w:r>
          </w:p>
        </w:tc>
        <w:tc>
          <w:tcPr>
            <w:tcW w:w="498"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97.35</w:t>
            </w:r>
          </w:p>
        </w:tc>
        <w:tc>
          <w:tcPr>
            <w:tcW w:w="1006"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54,186,424.58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59"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按组合计提坏账准备的应收账款</w:t>
            </w:r>
          </w:p>
        </w:tc>
        <w:tc>
          <w:tcPr>
            <w:tcW w:w="1060"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7,511,152,687.17</w:t>
            </w:r>
          </w:p>
        </w:tc>
        <w:tc>
          <w:tcPr>
            <w:tcW w:w="467"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78.62</w:t>
            </w:r>
          </w:p>
        </w:tc>
        <w:tc>
          <w:tcPr>
            <w:tcW w:w="1007"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816,032,366.58</w:t>
            </w:r>
          </w:p>
        </w:tc>
        <w:tc>
          <w:tcPr>
            <w:tcW w:w="498"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10.86</w:t>
            </w:r>
          </w:p>
        </w:tc>
        <w:tc>
          <w:tcPr>
            <w:tcW w:w="1006"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6,695,120,320.59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59"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其中：港口业务款组合</w:t>
            </w:r>
          </w:p>
        </w:tc>
        <w:tc>
          <w:tcPr>
            <w:tcW w:w="1060"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3,239,570,341.05</w:t>
            </w:r>
          </w:p>
        </w:tc>
        <w:tc>
          <w:tcPr>
            <w:tcW w:w="467"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33.91</w:t>
            </w:r>
          </w:p>
        </w:tc>
        <w:tc>
          <w:tcPr>
            <w:tcW w:w="1007"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297,282,675.89</w:t>
            </w:r>
          </w:p>
        </w:tc>
        <w:tc>
          <w:tcPr>
            <w:tcW w:w="498"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9.18</w:t>
            </w:r>
          </w:p>
        </w:tc>
        <w:tc>
          <w:tcPr>
            <w:tcW w:w="1006"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2,942,287,665.16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59"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工程业务款组合</w:t>
            </w:r>
          </w:p>
        </w:tc>
        <w:tc>
          <w:tcPr>
            <w:tcW w:w="1060"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3,110,567,651.60</w:t>
            </w:r>
          </w:p>
        </w:tc>
        <w:tc>
          <w:tcPr>
            <w:tcW w:w="467"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32.56</w:t>
            </w:r>
          </w:p>
        </w:tc>
        <w:tc>
          <w:tcPr>
            <w:tcW w:w="1007"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402,033,182.87</w:t>
            </w:r>
          </w:p>
        </w:tc>
        <w:tc>
          <w:tcPr>
            <w:tcW w:w="498"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12.92</w:t>
            </w:r>
          </w:p>
        </w:tc>
        <w:tc>
          <w:tcPr>
            <w:tcW w:w="1006"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2,708,534,468.73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59"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贸易业务款组合</w:t>
            </w:r>
          </w:p>
        </w:tc>
        <w:tc>
          <w:tcPr>
            <w:tcW w:w="1060"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926,547,196.10</w:t>
            </w:r>
          </w:p>
        </w:tc>
        <w:tc>
          <w:tcPr>
            <w:tcW w:w="467"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9.70</w:t>
            </w:r>
          </w:p>
        </w:tc>
        <w:tc>
          <w:tcPr>
            <w:tcW w:w="1007"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106,518,892.06</w:t>
            </w:r>
          </w:p>
        </w:tc>
        <w:tc>
          <w:tcPr>
            <w:tcW w:w="498"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11.50</w:t>
            </w:r>
          </w:p>
        </w:tc>
        <w:tc>
          <w:tcPr>
            <w:tcW w:w="1006"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820,028,304.04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59" w:type="pct"/>
            <w:noWrap w:val="0"/>
            <w:vAlign w:val="center"/>
          </w:tcPr>
          <w:p>
            <w:pPr>
              <w:rPr>
                <w:rFonts w:ascii="宋体" w:hAnsi="宋体" w:cs="宋体"/>
                <w:bCs/>
                <w:sz w:val="20"/>
              </w:rPr>
            </w:pPr>
            <w:r>
              <w:rPr>
                <w:rFonts w:hint="eastAsia" w:ascii="宋体" w:hAnsi="宋体" w:eastAsia="仿宋_GB2312" w:cs="Times New Roman"/>
                <w:szCs w:val="22"/>
              </w:rPr>
              <w:t>其他组合</w:t>
            </w:r>
          </w:p>
        </w:tc>
        <w:tc>
          <w:tcPr>
            <w:tcW w:w="1060"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234,467,498.42</w:t>
            </w:r>
          </w:p>
        </w:tc>
        <w:tc>
          <w:tcPr>
            <w:tcW w:w="467"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2.45</w:t>
            </w:r>
          </w:p>
        </w:tc>
        <w:tc>
          <w:tcPr>
            <w:tcW w:w="1007"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10,197,615.76</w:t>
            </w:r>
          </w:p>
        </w:tc>
        <w:tc>
          <w:tcPr>
            <w:tcW w:w="498"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4.35</w:t>
            </w:r>
          </w:p>
        </w:tc>
        <w:tc>
          <w:tcPr>
            <w:tcW w:w="1006" w:type="pct"/>
            <w:noWrap w:val="0"/>
            <w:vAlign w:val="center"/>
          </w:tcPr>
          <w:p>
            <w:pPr>
              <w:jc w:val="right"/>
              <w:rPr>
                <w:rFonts w:hint="eastAsia" w:ascii="宋体" w:hAnsi="宋体" w:eastAsia="宋体" w:cs="Times New Roman"/>
                <w:color w:val="000000"/>
                <w:szCs w:val="22"/>
              </w:rPr>
            </w:pPr>
            <w:r>
              <w:rPr>
                <w:rFonts w:hint="eastAsia" w:ascii="宋体" w:hAnsi="宋体" w:eastAsia="宋体" w:cs="Times New Roman"/>
                <w:color w:val="000000"/>
                <w:szCs w:val="22"/>
              </w:rPr>
              <w:t>224,269,882.66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59" w:type="pct"/>
            <w:noWrap w:val="0"/>
            <w:vAlign w:val="center"/>
          </w:tcPr>
          <w:p>
            <w:pPr>
              <w:spacing w:line="240" w:lineRule="auto"/>
              <w:jc w:val="center"/>
              <w:rPr>
                <w:rFonts w:hint="eastAsia" w:ascii="宋体" w:hAnsi="宋体"/>
                <w:b/>
                <w:spacing w:val="-14"/>
                <w:w w:val="90"/>
                <w:sz w:val="20"/>
              </w:rPr>
            </w:pPr>
            <w:r>
              <w:rPr>
                <w:rFonts w:hint="eastAsia" w:ascii="宋体" w:hAnsi="宋体" w:eastAsia="仿宋_GB2312" w:cs="Times New Roman"/>
                <w:b/>
                <w:bCs/>
                <w:szCs w:val="22"/>
              </w:rPr>
              <w:t>合</w:t>
            </w:r>
            <w:r>
              <w:rPr>
                <w:rFonts w:hint="eastAsia" w:ascii="宋体" w:hAnsi="宋体" w:eastAsia="仿宋_GB2312" w:cs="Times New Roman"/>
                <w:b/>
                <w:bCs/>
                <w:szCs w:val="22"/>
                <w:lang w:val="en-US" w:eastAsia="zh-CN"/>
              </w:rPr>
              <w:t xml:space="preserve"> </w:t>
            </w:r>
            <w:r>
              <w:rPr>
                <w:rFonts w:hint="eastAsia" w:ascii="宋体" w:hAnsi="宋体" w:eastAsia="仿宋_GB2312" w:cs="Times New Roman"/>
                <w:b/>
                <w:bCs/>
                <w:szCs w:val="22"/>
              </w:rPr>
              <w:t>计</w:t>
            </w:r>
          </w:p>
        </w:tc>
        <w:tc>
          <w:tcPr>
            <w:tcW w:w="1060" w:type="pct"/>
            <w:noWrap w:val="0"/>
            <w:vAlign w:val="center"/>
          </w:tcPr>
          <w:p>
            <w:pPr>
              <w:jc w:val="right"/>
              <w:rPr>
                <w:rFonts w:hint="eastAsia" w:ascii="宋体" w:hAnsi="宋体" w:eastAsia="宋体" w:cs="Times New Roman"/>
                <w:b/>
                <w:bCs/>
                <w:color w:val="000000"/>
                <w:szCs w:val="22"/>
              </w:rPr>
            </w:pPr>
            <w:r>
              <w:rPr>
                <w:rFonts w:hint="eastAsia" w:ascii="宋体" w:hAnsi="宋体" w:eastAsia="宋体" w:cs="Times New Roman"/>
                <w:b/>
                <w:bCs/>
                <w:color w:val="000000"/>
                <w:szCs w:val="22"/>
              </w:rPr>
              <w:t>9,554,074,545.35</w:t>
            </w:r>
          </w:p>
        </w:tc>
        <w:tc>
          <w:tcPr>
            <w:tcW w:w="467" w:type="pct"/>
            <w:noWrap w:val="0"/>
            <w:vAlign w:val="center"/>
          </w:tcPr>
          <w:p>
            <w:pPr>
              <w:jc w:val="right"/>
              <w:rPr>
                <w:rFonts w:hint="eastAsia" w:ascii="宋体" w:hAnsi="宋体" w:eastAsia="宋体" w:cs="Times New Roman"/>
                <w:b/>
                <w:bCs/>
                <w:color w:val="000000"/>
                <w:szCs w:val="22"/>
              </w:rPr>
            </w:pPr>
          </w:p>
        </w:tc>
        <w:tc>
          <w:tcPr>
            <w:tcW w:w="1007" w:type="pct"/>
            <w:noWrap w:val="0"/>
            <w:vAlign w:val="center"/>
          </w:tcPr>
          <w:p>
            <w:pPr>
              <w:jc w:val="right"/>
              <w:rPr>
                <w:rFonts w:hint="eastAsia" w:ascii="宋体" w:hAnsi="宋体" w:eastAsia="宋体" w:cs="Times New Roman"/>
                <w:b/>
                <w:bCs/>
                <w:color w:val="000000"/>
                <w:szCs w:val="22"/>
              </w:rPr>
            </w:pPr>
            <w:r>
              <w:rPr>
                <w:rFonts w:hint="eastAsia" w:ascii="宋体" w:hAnsi="宋体" w:eastAsia="宋体" w:cs="Times New Roman"/>
                <w:b/>
                <w:bCs/>
                <w:color w:val="000000"/>
                <w:szCs w:val="22"/>
              </w:rPr>
              <w:t>2,804,767,800.18</w:t>
            </w:r>
          </w:p>
        </w:tc>
        <w:tc>
          <w:tcPr>
            <w:tcW w:w="498" w:type="pct"/>
            <w:noWrap w:val="0"/>
            <w:vAlign w:val="center"/>
          </w:tcPr>
          <w:p>
            <w:pPr>
              <w:jc w:val="right"/>
              <w:rPr>
                <w:rFonts w:hint="eastAsia" w:ascii="宋体" w:hAnsi="宋体" w:eastAsia="宋体" w:cs="Times New Roman"/>
                <w:b/>
                <w:bCs/>
                <w:color w:val="000000"/>
                <w:szCs w:val="22"/>
              </w:rPr>
            </w:pPr>
          </w:p>
        </w:tc>
        <w:tc>
          <w:tcPr>
            <w:tcW w:w="1006" w:type="pct"/>
            <w:noWrap w:val="0"/>
            <w:vAlign w:val="center"/>
          </w:tcPr>
          <w:p>
            <w:pPr>
              <w:jc w:val="right"/>
              <w:rPr>
                <w:rFonts w:hint="eastAsia" w:ascii="宋体" w:hAnsi="宋体" w:eastAsia="宋体" w:cs="Times New Roman"/>
                <w:b/>
                <w:bCs/>
                <w:color w:val="000000"/>
                <w:szCs w:val="22"/>
              </w:rPr>
            </w:pPr>
            <w:r>
              <w:rPr>
                <w:rFonts w:hint="eastAsia" w:ascii="宋体" w:hAnsi="宋体" w:eastAsia="宋体" w:cs="Times New Roman"/>
                <w:b/>
                <w:bCs/>
                <w:color w:val="000000"/>
                <w:szCs w:val="22"/>
              </w:rPr>
              <w:t>6,749,306,745.17</w:t>
            </w:r>
          </w:p>
        </w:tc>
      </w:tr>
    </w:tbl>
    <w:p>
      <w:pPr>
        <w:numPr>
          <w:ilvl w:val="0"/>
          <w:numId w:val="0"/>
        </w:numPr>
        <w:adjustRightInd w:val="0"/>
        <w:spacing w:before="120" w:beforeLines="50" w:after="120" w:afterLines="50" w:line="360" w:lineRule="exact"/>
        <w:ind w:firstLine="640" w:firstLineChars="200"/>
        <w:jc w:val="both"/>
        <w:outlineLvl w:val="1"/>
        <w:rPr>
          <w:rFonts w:hint="eastAsia"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（2）存货</w:t>
      </w:r>
    </w:p>
    <w:tbl>
      <w:tblPr>
        <w:tblStyle w:val="11"/>
        <w:tblpPr w:leftFromText="180" w:rightFromText="180" w:vertAnchor="text" w:horzAnchor="page" w:tblpX="820" w:tblpY="311"/>
        <w:tblOverlap w:val="never"/>
        <w:tblW w:w="5769" w:type="pct"/>
        <w:jc w:val="center"/>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31"/>
        <w:gridCol w:w="1590"/>
        <w:gridCol w:w="1380"/>
        <w:gridCol w:w="1590"/>
        <w:gridCol w:w="1605"/>
        <w:gridCol w:w="1395"/>
        <w:gridCol w:w="1664"/>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3" w:hRule="atLeast"/>
          <w:tblHeader/>
          <w:jc w:val="center"/>
        </w:trPr>
        <w:tc>
          <w:tcPr>
            <w:tcW w:w="588" w:type="pct"/>
            <w:vMerge w:val="restart"/>
            <w:noWrap w:val="0"/>
            <w:vAlign w:val="center"/>
          </w:tcPr>
          <w:p>
            <w:pPr>
              <w:jc w:val="center"/>
              <w:rPr>
                <w:rFonts w:hint="eastAsia" w:ascii="宋体" w:hAnsi="宋体" w:eastAsia="仿宋_GB2312" w:cs="宋体"/>
                <w:b/>
                <w:bCs/>
                <w:szCs w:val="22"/>
              </w:rPr>
            </w:pPr>
            <w:r>
              <w:rPr>
                <w:rFonts w:hint="eastAsia" w:ascii="宋体" w:hAnsi="宋体" w:eastAsia="仿宋_GB2312" w:cs="宋体"/>
                <w:b/>
                <w:bCs/>
                <w:szCs w:val="22"/>
              </w:rPr>
              <w:t>项目</w:t>
            </w:r>
          </w:p>
        </w:tc>
        <w:tc>
          <w:tcPr>
            <w:tcW w:w="2180" w:type="pct"/>
            <w:gridSpan w:val="3"/>
            <w:noWrap w:val="0"/>
            <w:vAlign w:val="center"/>
          </w:tcPr>
          <w:p>
            <w:pPr>
              <w:jc w:val="center"/>
              <w:rPr>
                <w:rFonts w:hint="eastAsia" w:ascii="宋体" w:hAnsi="宋体" w:eastAsia="仿宋_GB2312" w:cs="宋体"/>
                <w:b/>
                <w:bCs/>
                <w:szCs w:val="22"/>
              </w:rPr>
            </w:pPr>
            <w:r>
              <w:rPr>
                <w:rFonts w:hint="eastAsia" w:ascii="宋体" w:hAnsi="宋体" w:eastAsia="仿宋_GB2312" w:cs="宋体"/>
                <w:b/>
                <w:bCs/>
                <w:szCs w:val="22"/>
              </w:rPr>
              <w:t>年末余额</w:t>
            </w:r>
          </w:p>
        </w:tc>
        <w:tc>
          <w:tcPr>
            <w:tcW w:w="2230" w:type="pct"/>
            <w:gridSpan w:val="3"/>
            <w:noWrap w:val="0"/>
            <w:vAlign w:val="center"/>
          </w:tcPr>
          <w:p>
            <w:pPr>
              <w:jc w:val="center"/>
              <w:rPr>
                <w:rFonts w:hint="eastAsia" w:ascii="宋体" w:hAnsi="宋体" w:eastAsia="仿宋_GB2312" w:cs="宋体"/>
                <w:b/>
                <w:bCs/>
                <w:szCs w:val="22"/>
              </w:rPr>
            </w:pPr>
            <w:r>
              <w:rPr>
                <w:rFonts w:hint="eastAsia" w:ascii="宋体" w:hAnsi="宋体" w:eastAsia="仿宋_GB2312" w:cs="宋体"/>
                <w:b/>
                <w:bCs/>
                <w:szCs w:val="22"/>
              </w:rPr>
              <w:t>年初余额</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51" w:hRule="atLeast"/>
          <w:tblHeader/>
          <w:jc w:val="center"/>
        </w:trPr>
        <w:tc>
          <w:tcPr>
            <w:tcW w:w="588" w:type="pct"/>
            <w:vMerge w:val="continue"/>
            <w:noWrap w:val="0"/>
            <w:vAlign w:val="center"/>
          </w:tcPr>
          <w:p>
            <w:pPr>
              <w:jc w:val="center"/>
              <w:rPr>
                <w:rFonts w:hint="eastAsia" w:ascii="宋体" w:hAnsi="宋体" w:eastAsia="仿宋_GB2312" w:cs="宋体"/>
                <w:b/>
                <w:bCs/>
                <w:szCs w:val="22"/>
              </w:rPr>
            </w:pPr>
          </w:p>
        </w:tc>
        <w:tc>
          <w:tcPr>
            <w:tcW w:w="760" w:type="pct"/>
            <w:noWrap w:val="0"/>
            <w:vAlign w:val="center"/>
          </w:tcPr>
          <w:p>
            <w:pPr>
              <w:jc w:val="center"/>
              <w:rPr>
                <w:rFonts w:hint="eastAsia" w:ascii="宋体" w:hAnsi="宋体" w:eastAsia="仿宋_GB2312" w:cs="宋体"/>
                <w:b/>
                <w:bCs/>
                <w:szCs w:val="22"/>
              </w:rPr>
            </w:pPr>
            <w:r>
              <w:rPr>
                <w:rFonts w:hint="eastAsia" w:ascii="宋体" w:hAnsi="宋体" w:eastAsia="仿宋_GB2312" w:cs="宋体"/>
                <w:b/>
                <w:bCs/>
                <w:szCs w:val="22"/>
              </w:rPr>
              <w:t>账面余额</w:t>
            </w:r>
          </w:p>
        </w:tc>
        <w:tc>
          <w:tcPr>
            <w:tcW w:w="659" w:type="pct"/>
            <w:noWrap w:val="0"/>
            <w:vAlign w:val="center"/>
          </w:tcPr>
          <w:p>
            <w:pPr>
              <w:jc w:val="center"/>
              <w:rPr>
                <w:rFonts w:hint="eastAsia" w:ascii="宋体" w:hAnsi="宋体" w:eastAsia="仿宋_GB2312" w:cs="宋体"/>
                <w:b/>
                <w:bCs/>
                <w:szCs w:val="22"/>
              </w:rPr>
            </w:pPr>
            <w:r>
              <w:rPr>
                <w:rFonts w:hint="eastAsia" w:ascii="宋体" w:hAnsi="宋体" w:eastAsia="仿宋_GB2312" w:cs="宋体"/>
                <w:b/>
                <w:bCs/>
                <w:szCs w:val="22"/>
              </w:rPr>
              <w:t>跌价准备/合同履约成本减值准备</w:t>
            </w:r>
          </w:p>
        </w:tc>
        <w:tc>
          <w:tcPr>
            <w:tcW w:w="760" w:type="pct"/>
            <w:noWrap w:val="0"/>
            <w:vAlign w:val="center"/>
          </w:tcPr>
          <w:p>
            <w:pPr>
              <w:jc w:val="center"/>
              <w:rPr>
                <w:rFonts w:hint="eastAsia" w:ascii="宋体" w:hAnsi="宋体" w:eastAsia="仿宋_GB2312" w:cs="宋体"/>
                <w:b/>
                <w:bCs/>
                <w:szCs w:val="22"/>
              </w:rPr>
            </w:pPr>
            <w:r>
              <w:rPr>
                <w:rFonts w:hint="eastAsia" w:ascii="宋体" w:hAnsi="宋体" w:eastAsia="仿宋_GB2312" w:cs="宋体"/>
                <w:b/>
                <w:bCs/>
                <w:szCs w:val="22"/>
              </w:rPr>
              <w:t>账面价值</w:t>
            </w:r>
          </w:p>
        </w:tc>
        <w:tc>
          <w:tcPr>
            <w:tcW w:w="767" w:type="pct"/>
            <w:noWrap w:val="0"/>
            <w:vAlign w:val="center"/>
          </w:tcPr>
          <w:p>
            <w:pPr>
              <w:jc w:val="center"/>
              <w:rPr>
                <w:rFonts w:hint="eastAsia" w:ascii="宋体" w:hAnsi="宋体" w:eastAsia="仿宋_GB2312" w:cs="宋体"/>
                <w:b/>
                <w:bCs/>
                <w:szCs w:val="22"/>
              </w:rPr>
            </w:pPr>
            <w:r>
              <w:rPr>
                <w:rFonts w:hint="eastAsia" w:ascii="宋体" w:hAnsi="宋体" w:eastAsia="仿宋_GB2312" w:cs="宋体"/>
                <w:b/>
                <w:bCs/>
                <w:szCs w:val="22"/>
              </w:rPr>
              <w:t>账面余额</w:t>
            </w:r>
          </w:p>
        </w:tc>
        <w:tc>
          <w:tcPr>
            <w:tcW w:w="667" w:type="pct"/>
            <w:noWrap w:val="0"/>
            <w:vAlign w:val="center"/>
          </w:tcPr>
          <w:p>
            <w:pPr>
              <w:jc w:val="center"/>
              <w:rPr>
                <w:rFonts w:hint="eastAsia" w:ascii="宋体" w:hAnsi="宋体" w:eastAsia="仿宋_GB2312" w:cs="宋体"/>
                <w:b/>
                <w:bCs/>
                <w:szCs w:val="22"/>
              </w:rPr>
            </w:pPr>
            <w:r>
              <w:rPr>
                <w:rFonts w:hint="eastAsia" w:ascii="宋体" w:hAnsi="宋体" w:eastAsia="仿宋_GB2312" w:cs="宋体"/>
                <w:b/>
                <w:bCs/>
                <w:szCs w:val="22"/>
              </w:rPr>
              <w:t>跌价准备/合同履约成本减值准备</w:t>
            </w:r>
          </w:p>
        </w:tc>
        <w:tc>
          <w:tcPr>
            <w:tcW w:w="795" w:type="pct"/>
            <w:noWrap w:val="0"/>
            <w:vAlign w:val="center"/>
          </w:tcPr>
          <w:p>
            <w:pPr>
              <w:jc w:val="center"/>
              <w:rPr>
                <w:rFonts w:hint="eastAsia" w:ascii="宋体" w:hAnsi="宋体" w:eastAsia="仿宋_GB2312" w:cs="宋体"/>
                <w:b/>
                <w:bCs/>
                <w:szCs w:val="22"/>
              </w:rPr>
            </w:pPr>
            <w:r>
              <w:rPr>
                <w:rFonts w:hint="eastAsia" w:ascii="宋体" w:hAnsi="宋体" w:eastAsia="仿宋_GB2312" w:cs="宋体"/>
                <w:b/>
                <w:bCs/>
                <w:szCs w:val="22"/>
              </w:rPr>
              <w:t>账面价值</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85" w:hRule="atLeast"/>
          <w:tblHeader/>
          <w:jc w:val="center"/>
        </w:trPr>
        <w:tc>
          <w:tcPr>
            <w:tcW w:w="588" w:type="pct"/>
            <w:noWrap w:val="0"/>
            <w:vAlign w:val="center"/>
          </w:tcPr>
          <w:p>
            <w:pPr>
              <w:rPr>
                <w:rFonts w:hint="default" w:ascii="宋体" w:hAnsi="宋体" w:eastAsia="仿宋_GB2312" w:cs="Times New Roman"/>
                <w:sz w:val="20"/>
                <w:szCs w:val="21"/>
              </w:rPr>
            </w:pPr>
            <w:r>
              <w:rPr>
                <w:rFonts w:hint="eastAsia" w:ascii="宋体" w:hAnsi="宋体" w:eastAsia="仿宋_GB2312" w:cs="Times New Roman"/>
                <w:sz w:val="20"/>
                <w:szCs w:val="21"/>
              </w:rPr>
              <w:t>原材料</w:t>
            </w: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302,391,702.20 </w:t>
            </w:r>
          </w:p>
        </w:tc>
        <w:tc>
          <w:tcPr>
            <w:tcW w:w="659"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2,035,621.49 </w:t>
            </w: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300,356,080.71 </w:t>
            </w:r>
          </w:p>
        </w:tc>
        <w:tc>
          <w:tcPr>
            <w:tcW w:w="767"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312,396,473.85</w:t>
            </w:r>
          </w:p>
        </w:tc>
        <w:tc>
          <w:tcPr>
            <w:tcW w:w="667"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1,938,800.54</w:t>
            </w:r>
          </w:p>
        </w:tc>
        <w:tc>
          <w:tcPr>
            <w:tcW w:w="795"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310,457,673.31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77" w:hRule="atLeast"/>
          <w:tblHeader/>
          <w:jc w:val="center"/>
        </w:trPr>
        <w:tc>
          <w:tcPr>
            <w:tcW w:w="588" w:type="pct"/>
            <w:noWrap w:val="0"/>
            <w:vAlign w:val="center"/>
          </w:tcPr>
          <w:p>
            <w:pPr>
              <w:rPr>
                <w:rFonts w:hint="default" w:ascii="宋体" w:hAnsi="宋体" w:eastAsia="仿宋_GB2312" w:cs="Times New Roman"/>
                <w:sz w:val="20"/>
                <w:szCs w:val="21"/>
              </w:rPr>
            </w:pPr>
            <w:r>
              <w:rPr>
                <w:rFonts w:hint="eastAsia" w:ascii="宋体" w:hAnsi="宋体" w:eastAsia="仿宋_GB2312" w:cs="Times New Roman"/>
                <w:sz w:val="20"/>
                <w:szCs w:val="21"/>
              </w:rPr>
              <w:t>自制半成品及在产品</w:t>
            </w: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5,420,260,974.72 </w:t>
            </w:r>
          </w:p>
        </w:tc>
        <w:tc>
          <w:tcPr>
            <w:tcW w:w="659" w:type="pct"/>
            <w:noWrap w:val="0"/>
            <w:vAlign w:val="center"/>
          </w:tcPr>
          <w:p>
            <w:pPr>
              <w:jc w:val="right"/>
              <w:rPr>
                <w:rFonts w:hint="default" w:ascii="宋体" w:hAnsi="宋体" w:eastAsia="宋体" w:cs="Times New Roman"/>
                <w:b w:val="0"/>
                <w:bCs w:val="0"/>
                <w:color w:val="000000"/>
                <w:sz w:val="16"/>
                <w:szCs w:val="16"/>
              </w:rPr>
            </w:pP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5,420,260,974.72 </w:t>
            </w:r>
          </w:p>
        </w:tc>
        <w:tc>
          <w:tcPr>
            <w:tcW w:w="767"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4,642,998,559.75</w:t>
            </w:r>
          </w:p>
        </w:tc>
        <w:tc>
          <w:tcPr>
            <w:tcW w:w="667" w:type="pct"/>
            <w:noWrap w:val="0"/>
            <w:vAlign w:val="center"/>
          </w:tcPr>
          <w:p>
            <w:pPr>
              <w:jc w:val="right"/>
              <w:rPr>
                <w:rFonts w:hint="default" w:ascii="宋体" w:hAnsi="宋体" w:eastAsia="宋体" w:cs="Times New Roman"/>
                <w:b w:val="0"/>
                <w:bCs w:val="0"/>
                <w:color w:val="000000"/>
                <w:sz w:val="16"/>
                <w:szCs w:val="16"/>
              </w:rPr>
            </w:pPr>
          </w:p>
        </w:tc>
        <w:tc>
          <w:tcPr>
            <w:tcW w:w="795"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4,642,998,559.75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12" w:hRule="atLeast"/>
          <w:tblHeader/>
          <w:jc w:val="center"/>
        </w:trPr>
        <w:tc>
          <w:tcPr>
            <w:tcW w:w="588" w:type="pct"/>
            <w:noWrap w:val="0"/>
            <w:vAlign w:val="center"/>
          </w:tcPr>
          <w:p>
            <w:pPr>
              <w:rPr>
                <w:rFonts w:hint="default" w:ascii="宋体" w:hAnsi="宋体" w:eastAsia="仿宋_GB2312" w:cs="Times New Roman"/>
                <w:sz w:val="20"/>
                <w:szCs w:val="21"/>
              </w:rPr>
            </w:pPr>
            <w:r>
              <w:rPr>
                <w:rFonts w:hint="eastAsia" w:ascii="宋体" w:hAnsi="宋体" w:eastAsia="仿宋_GB2312" w:cs="Times New Roman"/>
                <w:sz w:val="20"/>
                <w:szCs w:val="21"/>
              </w:rPr>
              <w:t>库存商品</w:t>
            </w: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11,616,137,091.14 </w:t>
            </w:r>
          </w:p>
        </w:tc>
        <w:tc>
          <w:tcPr>
            <w:tcW w:w="659"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176,947,253.32 </w:t>
            </w: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11,439,189,837.82 </w:t>
            </w:r>
          </w:p>
        </w:tc>
        <w:tc>
          <w:tcPr>
            <w:tcW w:w="767"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7,739,238,526.44</w:t>
            </w:r>
          </w:p>
        </w:tc>
        <w:tc>
          <w:tcPr>
            <w:tcW w:w="667"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254,236,124.59</w:t>
            </w:r>
          </w:p>
        </w:tc>
        <w:tc>
          <w:tcPr>
            <w:tcW w:w="795"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7,485,002,401.85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83" w:hRule="atLeast"/>
          <w:tblHeader/>
          <w:jc w:val="center"/>
        </w:trPr>
        <w:tc>
          <w:tcPr>
            <w:tcW w:w="588" w:type="pct"/>
            <w:noWrap w:val="0"/>
            <w:vAlign w:val="center"/>
          </w:tcPr>
          <w:p>
            <w:pPr>
              <w:rPr>
                <w:rFonts w:hint="default" w:ascii="宋体" w:hAnsi="宋体" w:eastAsia="仿宋_GB2312" w:cs="Times New Roman"/>
                <w:sz w:val="20"/>
                <w:szCs w:val="21"/>
              </w:rPr>
            </w:pPr>
            <w:r>
              <w:rPr>
                <w:rFonts w:hint="eastAsia" w:ascii="宋体" w:hAnsi="宋体" w:eastAsia="仿宋_GB2312" w:cs="Times New Roman"/>
                <w:sz w:val="20"/>
                <w:szCs w:val="21"/>
              </w:rPr>
              <w:t>周转材料</w:t>
            </w: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1,634,401.61 </w:t>
            </w:r>
          </w:p>
        </w:tc>
        <w:tc>
          <w:tcPr>
            <w:tcW w:w="659" w:type="pct"/>
            <w:noWrap w:val="0"/>
            <w:vAlign w:val="center"/>
          </w:tcPr>
          <w:p>
            <w:pPr>
              <w:jc w:val="right"/>
              <w:rPr>
                <w:rFonts w:hint="default" w:ascii="宋体" w:hAnsi="宋体" w:eastAsia="宋体" w:cs="Times New Roman"/>
                <w:b w:val="0"/>
                <w:bCs w:val="0"/>
                <w:color w:val="000000"/>
                <w:sz w:val="16"/>
                <w:szCs w:val="16"/>
              </w:rPr>
            </w:pP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1,634,401.61 </w:t>
            </w:r>
          </w:p>
        </w:tc>
        <w:tc>
          <w:tcPr>
            <w:tcW w:w="767"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1,534,535.49</w:t>
            </w:r>
          </w:p>
        </w:tc>
        <w:tc>
          <w:tcPr>
            <w:tcW w:w="667" w:type="pct"/>
            <w:noWrap w:val="0"/>
            <w:vAlign w:val="center"/>
          </w:tcPr>
          <w:p>
            <w:pPr>
              <w:jc w:val="right"/>
              <w:rPr>
                <w:rFonts w:hint="default" w:ascii="宋体" w:hAnsi="宋体" w:eastAsia="宋体" w:cs="Times New Roman"/>
                <w:b w:val="0"/>
                <w:bCs w:val="0"/>
                <w:color w:val="000000"/>
                <w:sz w:val="16"/>
                <w:szCs w:val="16"/>
              </w:rPr>
            </w:pPr>
          </w:p>
        </w:tc>
        <w:tc>
          <w:tcPr>
            <w:tcW w:w="795"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1,534,535.49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56" w:hRule="atLeast"/>
          <w:tblHeader/>
          <w:jc w:val="center"/>
        </w:trPr>
        <w:tc>
          <w:tcPr>
            <w:tcW w:w="588" w:type="pct"/>
            <w:noWrap w:val="0"/>
            <w:vAlign w:val="center"/>
          </w:tcPr>
          <w:p>
            <w:pPr>
              <w:rPr>
                <w:rFonts w:hint="default" w:ascii="宋体" w:hAnsi="宋体" w:eastAsia="仿宋_GB2312" w:cs="Times New Roman"/>
                <w:sz w:val="20"/>
                <w:szCs w:val="21"/>
              </w:rPr>
            </w:pPr>
            <w:r>
              <w:rPr>
                <w:rFonts w:hint="eastAsia" w:ascii="宋体" w:hAnsi="宋体" w:eastAsia="仿宋_GB2312" w:cs="Times New Roman"/>
                <w:sz w:val="20"/>
                <w:szCs w:val="21"/>
              </w:rPr>
              <w:t>消耗性生物资产</w:t>
            </w: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24,835,165.60 </w:t>
            </w:r>
          </w:p>
        </w:tc>
        <w:tc>
          <w:tcPr>
            <w:tcW w:w="659" w:type="pct"/>
            <w:noWrap w:val="0"/>
            <w:vAlign w:val="center"/>
          </w:tcPr>
          <w:p>
            <w:pPr>
              <w:jc w:val="right"/>
              <w:rPr>
                <w:rFonts w:hint="default" w:ascii="宋体" w:hAnsi="宋体" w:eastAsia="宋体" w:cs="Times New Roman"/>
                <w:b w:val="0"/>
                <w:bCs w:val="0"/>
                <w:color w:val="000000"/>
                <w:sz w:val="16"/>
                <w:szCs w:val="16"/>
              </w:rPr>
            </w:pP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24,835,165.60 </w:t>
            </w:r>
          </w:p>
        </w:tc>
        <w:tc>
          <w:tcPr>
            <w:tcW w:w="767"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10,893,069.32</w:t>
            </w:r>
          </w:p>
        </w:tc>
        <w:tc>
          <w:tcPr>
            <w:tcW w:w="667" w:type="pct"/>
            <w:noWrap w:val="0"/>
            <w:vAlign w:val="center"/>
          </w:tcPr>
          <w:p>
            <w:pPr>
              <w:jc w:val="right"/>
              <w:rPr>
                <w:rFonts w:hint="default" w:ascii="宋体" w:hAnsi="宋体" w:eastAsia="宋体" w:cs="Times New Roman"/>
                <w:b w:val="0"/>
                <w:bCs w:val="0"/>
                <w:color w:val="000000"/>
                <w:sz w:val="16"/>
                <w:szCs w:val="16"/>
              </w:rPr>
            </w:pPr>
          </w:p>
        </w:tc>
        <w:tc>
          <w:tcPr>
            <w:tcW w:w="795"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10,893,069.32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8" w:hRule="atLeast"/>
          <w:tblHeader/>
          <w:jc w:val="center"/>
        </w:trPr>
        <w:tc>
          <w:tcPr>
            <w:tcW w:w="588" w:type="pct"/>
            <w:noWrap w:val="0"/>
            <w:vAlign w:val="center"/>
          </w:tcPr>
          <w:p>
            <w:pPr>
              <w:rPr>
                <w:rFonts w:hint="default" w:ascii="宋体" w:hAnsi="宋体" w:eastAsia="仿宋_GB2312" w:cs="Times New Roman"/>
                <w:sz w:val="20"/>
                <w:szCs w:val="21"/>
              </w:rPr>
            </w:pPr>
            <w:r>
              <w:rPr>
                <w:rFonts w:hint="eastAsia" w:ascii="宋体" w:hAnsi="宋体" w:eastAsia="仿宋_GB2312" w:cs="Times New Roman"/>
                <w:sz w:val="20"/>
                <w:szCs w:val="21"/>
              </w:rPr>
              <w:t>合同履约成本</w:t>
            </w: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1,671,471,058.88 </w:t>
            </w:r>
          </w:p>
        </w:tc>
        <w:tc>
          <w:tcPr>
            <w:tcW w:w="659" w:type="pct"/>
            <w:noWrap w:val="0"/>
            <w:vAlign w:val="center"/>
          </w:tcPr>
          <w:p>
            <w:pPr>
              <w:jc w:val="right"/>
              <w:rPr>
                <w:rFonts w:hint="default" w:ascii="宋体" w:hAnsi="宋体" w:eastAsia="宋体" w:cs="Times New Roman"/>
                <w:b w:val="0"/>
                <w:bCs w:val="0"/>
                <w:color w:val="000000"/>
                <w:sz w:val="16"/>
                <w:szCs w:val="16"/>
              </w:rPr>
            </w:pP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1,671,471,058.88 </w:t>
            </w:r>
          </w:p>
        </w:tc>
        <w:tc>
          <w:tcPr>
            <w:tcW w:w="767"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1,961,227,641.57</w:t>
            </w:r>
          </w:p>
        </w:tc>
        <w:tc>
          <w:tcPr>
            <w:tcW w:w="667"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520,112.85</w:t>
            </w:r>
          </w:p>
        </w:tc>
        <w:tc>
          <w:tcPr>
            <w:tcW w:w="795"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1,960,707,528.72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98" w:hRule="atLeast"/>
          <w:tblHeader/>
          <w:jc w:val="center"/>
        </w:trPr>
        <w:tc>
          <w:tcPr>
            <w:tcW w:w="588" w:type="pct"/>
            <w:noWrap w:val="0"/>
            <w:vAlign w:val="center"/>
          </w:tcPr>
          <w:p>
            <w:pPr>
              <w:rPr>
                <w:rFonts w:hint="default" w:ascii="宋体" w:hAnsi="宋体" w:eastAsia="仿宋_GB2312" w:cs="Times New Roman"/>
                <w:sz w:val="20"/>
                <w:szCs w:val="21"/>
              </w:rPr>
            </w:pPr>
            <w:r>
              <w:rPr>
                <w:rFonts w:hint="eastAsia" w:ascii="宋体" w:hAnsi="宋体" w:eastAsia="仿宋_GB2312" w:cs="Times New Roman"/>
                <w:sz w:val="20"/>
                <w:szCs w:val="21"/>
              </w:rPr>
              <w:t>其他</w:t>
            </w: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633,396,087.95 </w:t>
            </w:r>
          </w:p>
        </w:tc>
        <w:tc>
          <w:tcPr>
            <w:tcW w:w="659" w:type="pct"/>
            <w:noWrap w:val="0"/>
            <w:vAlign w:val="center"/>
          </w:tcPr>
          <w:p>
            <w:pPr>
              <w:jc w:val="right"/>
              <w:rPr>
                <w:rFonts w:hint="default" w:ascii="宋体" w:hAnsi="宋体" w:eastAsia="宋体" w:cs="Times New Roman"/>
                <w:b w:val="0"/>
                <w:bCs w:val="0"/>
                <w:color w:val="000000"/>
                <w:sz w:val="16"/>
                <w:szCs w:val="16"/>
              </w:rPr>
            </w:pPr>
          </w:p>
        </w:tc>
        <w:tc>
          <w:tcPr>
            <w:tcW w:w="760"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 xml:space="preserve">633,396,087.95 </w:t>
            </w:r>
          </w:p>
        </w:tc>
        <w:tc>
          <w:tcPr>
            <w:tcW w:w="767"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689,742,904.44</w:t>
            </w:r>
          </w:p>
        </w:tc>
        <w:tc>
          <w:tcPr>
            <w:tcW w:w="667" w:type="pct"/>
            <w:noWrap w:val="0"/>
            <w:vAlign w:val="center"/>
          </w:tcPr>
          <w:p>
            <w:pPr>
              <w:jc w:val="right"/>
              <w:rPr>
                <w:rFonts w:hint="default" w:ascii="宋体" w:hAnsi="宋体" w:eastAsia="宋体" w:cs="Times New Roman"/>
                <w:b w:val="0"/>
                <w:bCs w:val="0"/>
                <w:color w:val="000000"/>
                <w:sz w:val="16"/>
                <w:szCs w:val="16"/>
              </w:rPr>
            </w:pPr>
          </w:p>
        </w:tc>
        <w:tc>
          <w:tcPr>
            <w:tcW w:w="795" w:type="pct"/>
            <w:noWrap w:val="0"/>
            <w:vAlign w:val="center"/>
          </w:tcPr>
          <w:p>
            <w:pPr>
              <w:jc w:val="right"/>
              <w:rPr>
                <w:rFonts w:hint="default" w:ascii="宋体" w:hAnsi="宋体" w:eastAsia="宋体" w:cs="Times New Roman"/>
                <w:b w:val="0"/>
                <w:bCs w:val="0"/>
                <w:color w:val="000000"/>
                <w:sz w:val="16"/>
                <w:szCs w:val="16"/>
              </w:rPr>
            </w:pPr>
            <w:r>
              <w:rPr>
                <w:rFonts w:hint="default" w:ascii="宋体" w:hAnsi="宋体" w:eastAsia="宋体" w:cs="Times New Roman"/>
                <w:b w:val="0"/>
                <w:bCs w:val="0"/>
                <w:color w:val="000000"/>
                <w:sz w:val="16"/>
                <w:szCs w:val="16"/>
              </w:rPr>
              <w:t>689,742,904.44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1" w:hRule="atLeast"/>
          <w:tblHeader/>
          <w:jc w:val="center"/>
        </w:trPr>
        <w:tc>
          <w:tcPr>
            <w:tcW w:w="588" w:type="pct"/>
            <w:noWrap w:val="0"/>
            <w:vAlign w:val="center"/>
          </w:tcPr>
          <w:p>
            <w:pPr>
              <w:jc w:val="center"/>
              <w:rPr>
                <w:rFonts w:hint="default" w:ascii="宋体" w:hAnsi="宋体" w:eastAsia="仿宋_GB2312" w:cs="Times New Roman"/>
                <w:bCs/>
                <w:sz w:val="18"/>
                <w:szCs w:val="20"/>
              </w:rPr>
            </w:pPr>
            <w:r>
              <w:rPr>
                <w:rFonts w:hint="default" w:ascii="宋体" w:hAnsi="宋体" w:eastAsia="仿宋_GB2312" w:cs="Times New Roman"/>
                <w:b/>
                <w:bCs/>
                <w:sz w:val="20"/>
                <w:szCs w:val="21"/>
              </w:rPr>
              <w:t>合</w:t>
            </w:r>
            <w:r>
              <w:rPr>
                <w:rFonts w:hint="default" w:ascii="宋体" w:hAnsi="宋体" w:eastAsia="仿宋_GB2312" w:cs="Times New Roman"/>
                <w:b/>
                <w:bCs/>
                <w:sz w:val="20"/>
                <w:szCs w:val="21"/>
                <w:lang w:val="en-US" w:eastAsia="zh-CN"/>
              </w:rPr>
              <w:t xml:space="preserve"> </w:t>
            </w:r>
            <w:r>
              <w:rPr>
                <w:rFonts w:hint="default" w:ascii="宋体" w:hAnsi="宋体" w:eastAsia="仿宋_GB2312" w:cs="Times New Roman"/>
                <w:b/>
                <w:bCs/>
                <w:sz w:val="20"/>
                <w:szCs w:val="21"/>
              </w:rPr>
              <w:t>计</w:t>
            </w:r>
          </w:p>
        </w:tc>
        <w:tc>
          <w:tcPr>
            <w:tcW w:w="760" w:type="pct"/>
            <w:noWrap w:val="0"/>
            <w:vAlign w:val="center"/>
          </w:tcPr>
          <w:p>
            <w:pPr>
              <w:jc w:val="right"/>
              <w:rPr>
                <w:rFonts w:hint="default" w:ascii="宋体" w:hAnsi="宋体" w:eastAsia="宋体" w:cs="Times New Roman"/>
                <w:b/>
                <w:bCs/>
                <w:color w:val="000000"/>
                <w:sz w:val="16"/>
                <w:szCs w:val="16"/>
              </w:rPr>
            </w:pPr>
            <w:r>
              <w:rPr>
                <w:rFonts w:hint="default" w:ascii="宋体" w:hAnsi="宋体" w:eastAsia="宋体" w:cs="Times New Roman"/>
                <w:b/>
                <w:bCs/>
                <w:color w:val="000000"/>
                <w:sz w:val="16"/>
                <w:szCs w:val="16"/>
              </w:rPr>
              <w:t xml:space="preserve">19,670,126,482.10 </w:t>
            </w:r>
          </w:p>
        </w:tc>
        <w:tc>
          <w:tcPr>
            <w:tcW w:w="659" w:type="pct"/>
            <w:noWrap w:val="0"/>
            <w:vAlign w:val="center"/>
          </w:tcPr>
          <w:p>
            <w:pPr>
              <w:jc w:val="right"/>
              <w:rPr>
                <w:rFonts w:hint="default" w:ascii="宋体" w:hAnsi="宋体" w:eastAsia="宋体" w:cs="Times New Roman"/>
                <w:b/>
                <w:bCs/>
                <w:color w:val="000000"/>
                <w:sz w:val="16"/>
                <w:szCs w:val="16"/>
              </w:rPr>
            </w:pPr>
            <w:r>
              <w:rPr>
                <w:rFonts w:hint="default" w:ascii="宋体" w:hAnsi="宋体" w:eastAsia="宋体" w:cs="Times New Roman"/>
                <w:b/>
                <w:bCs/>
                <w:color w:val="000000"/>
                <w:sz w:val="16"/>
                <w:szCs w:val="16"/>
              </w:rPr>
              <w:t xml:space="preserve">178,982,874.81 </w:t>
            </w:r>
          </w:p>
        </w:tc>
        <w:tc>
          <w:tcPr>
            <w:tcW w:w="760" w:type="pct"/>
            <w:noWrap w:val="0"/>
            <w:vAlign w:val="center"/>
          </w:tcPr>
          <w:p>
            <w:pPr>
              <w:jc w:val="right"/>
              <w:rPr>
                <w:rFonts w:hint="default" w:ascii="宋体" w:hAnsi="宋体" w:eastAsia="宋体" w:cs="Times New Roman"/>
                <w:b/>
                <w:bCs/>
                <w:color w:val="000000"/>
                <w:sz w:val="16"/>
                <w:szCs w:val="16"/>
              </w:rPr>
            </w:pPr>
            <w:r>
              <w:rPr>
                <w:rFonts w:hint="default" w:ascii="宋体" w:hAnsi="宋体" w:eastAsia="宋体" w:cs="Times New Roman"/>
                <w:b/>
                <w:bCs/>
                <w:color w:val="000000"/>
                <w:sz w:val="16"/>
                <w:szCs w:val="16"/>
              </w:rPr>
              <w:t xml:space="preserve">19,491,143,607.29 </w:t>
            </w:r>
          </w:p>
        </w:tc>
        <w:tc>
          <w:tcPr>
            <w:tcW w:w="767" w:type="pct"/>
            <w:noWrap w:val="0"/>
            <w:vAlign w:val="center"/>
          </w:tcPr>
          <w:p>
            <w:pPr>
              <w:jc w:val="right"/>
              <w:rPr>
                <w:rFonts w:hint="default" w:ascii="宋体" w:hAnsi="宋体" w:eastAsia="宋体" w:cs="Times New Roman"/>
                <w:b/>
                <w:bCs/>
                <w:color w:val="000000"/>
                <w:sz w:val="16"/>
                <w:szCs w:val="16"/>
              </w:rPr>
            </w:pPr>
            <w:r>
              <w:rPr>
                <w:rFonts w:hint="default" w:ascii="宋体" w:hAnsi="宋体" w:eastAsia="宋体" w:cs="Times New Roman"/>
                <w:b/>
                <w:bCs/>
                <w:color w:val="000000"/>
                <w:sz w:val="16"/>
                <w:szCs w:val="16"/>
              </w:rPr>
              <w:t>15,358,031,710.86</w:t>
            </w:r>
          </w:p>
        </w:tc>
        <w:tc>
          <w:tcPr>
            <w:tcW w:w="667" w:type="pct"/>
            <w:noWrap w:val="0"/>
            <w:vAlign w:val="center"/>
          </w:tcPr>
          <w:p>
            <w:pPr>
              <w:jc w:val="right"/>
              <w:rPr>
                <w:rFonts w:hint="default" w:ascii="宋体" w:hAnsi="宋体" w:eastAsia="宋体" w:cs="Times New Roman"/>
                <w:b/>
                <w:bCs/>
                <w:color w:val="000000"/>
                <w:sz w:val="16"/>
                <w:szCs w:val="16"/>
              </w:rPr>
            </w:pPr>
            <w:r>
              <w:rPr>
                <w:rFonts w:hint="default" w:ascii="宋体" w:hAnsi="宋体" w:eastAsia="宋体" w:cs="Times New Roman"/>
                <w:b/>
                <w:bCs/>
                <w:color w:val="000000"/>
                <w:sz w:val="16"/>
                <w:szCs w:val="16"/>
              </w:rPr>
              <w:t>256,695,037.98</w:t>
            </w:r>
          </w:p>
        </w:tc>
        <w:tc>
          <w:tcPr>
            <w:tcW w:w="795" w:type="pct"/>
            <w:noWrap w:val="0"/>
            <w:vAlign w:val="center"/>
          </w:tcPr>
          <w:p>
            <w:pPr>
              <w:jc w:val="right"/>
              <w:rPr>
                <w:rFonts w:hint="default" w:ascii="宋体" w:hAnsi="宋体" w:eastAsia="宋体" w:cs="Times New Roman"/>
                <w:b/>
                <w:bCs/>
                <w:color w:val="000000"/>
                <w:sz w:val="16"/>
                <w:szCs w:val="16"/>
              </w:rPr>
            </w:pPr>
            <w:r>
              <w:rPr>
                <w:rFonts w:hint="default" w:ascii="宋体" w:hAnsi="宋体" w:eastAsia="宋体" w:cs="Times New Roman"/>
                <w:b/>
                <w:bCs/>
                <w:color w:val="000000"/>
                <w:sz w:val="16"/>
                <w:szCs w:val="16"/>
              </w:rPr>
              <w:t>15,101,336,672.88</w:t>
            </w:r>
          </w:p>
        </w:tc>
      </w:tr>
    </w:tbl>
    <w:p>
      <w:pPr>
        <w:numPr>
          <w:ilvl w:val="0"/>
          <w:numId w:val="0"/>
        </w:numPr>
        <w:adjustRightInd w:val="0"/>
        <w:spacing w:before="120" w:beforeLines="50" w:after="120" w:afterLines="50" w:line="360" w:lineRule="exact"/>
        <w:jc w:val="both"/>
        <w:outlineLvl w:val="1"/>
        <w:rPr>
          <w:rFonts w:hint="default" w:ascii="宋体" w:hAnsi="宋体" w:eastAsia="仿宋_GB2312" w:cs="Times New Roman"/>
          <w:b w:val="0"/>
          <w:bCs w:val="0"/>
          <w:sz w:val="32"/>
          <w:szCs w:val="32"/>
          <w:lang w:val="en-US" w:eastAsia="zh-CN"/>
        </w:rPr>
        <w:sectPr>
          <w:footerReference r:id="rId5" w:type="default"/>
          <w:pgSz w:w="11906" w:h="16838"/>
          <w:pgMar w:top="2098" w:right="1474" w:bottom="1984" w:left="1587" w:header="851" w:footer="992" w:gutter="0"/>
          <w:pgNumType w:fmt="decimal"/>
          <w:cols w:space="720" w:num="1"/>
          <w:docGrid w:type="lines" w:linePitch="312" w:charSpace="0"/>
        </w:sectPr>
      </w:pPr>
    </w:p>
    <w:p>
      <w:pPr>
        <w:numPr>
          <w:ilvl w:val="0"/>
          <w:numId w:val="0"/>
        </w:numPr>
        <w:adjustRightInd w:val="0"/>
        <w:spacing w:before="120" w:beforeLines="50" w:after="120" w:afterLines="50" w:line="360" w:lineRule="exact"/>
        <w:ind w:firstLine="640" w:firstLineChars="200"/>
        <w:jc w:val="both"/>
        <w:outlineLvl w:val="1"/>
        <w:rPr>
          <w:rFonts w:hint="eastAsia"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（3）固定资产</w:t>
      </w:r>
    </w:p>
    <w:tbl>
      <w:tblPr>
        <w:tblStyle w:val="11"/>
        <w:tblW w:w="9145" w:type="dxa"/>
        <w:tblInd w:w="0"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378"/>
        <w:gridCol w:w="2817"/>
        <w:gridCol w:w="2950"/>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blHeader/>
        </w:trPr>
        <w:tc>
          <w:tcPr>
            <w:tcW w:w="3378" w:type="dxa"/>
            <w:noWrap w:val="0"/>
            <w:vAlign w:val="center"/>
          </w:tcPr>
          <w:p>
            <w:pPr>
              <w:jc w:val="center"/>
              <w:rPr>
                <w:rFonts w:hint="eastAsia" w:ascii="宋体" w:hAnsi="宋体" w:eastAsia="仿宋_GB2312" w:cs="宋体"/>
                <w:b/>
                <w:bCs/>
                <w:sz w:val="21"/>
                <w:szCs w:val="21"/>
              </w:rPr>
            </w:pPr>
            <w:r>
              <w:rPr>
                <w:rFonts w:hint="eastAsia" w:ascii="宋体" w:hAnsi="宋体" w:eastAsia="仿宋_GB2312" w:cs="宋体"/>
                <w:b/>
                <w:bCs/>
                <w:sz w:val="21"/>
                <w:szCs w:val="21"/>
              </w:rPr>
              <w:t>项目</w:t>
            </w:r>
          </w:p>
        </w:tc>
        <w:tc>
          <w:tcPr>
            <w:tcW w:w="2817" w:type="dxa"/>
            <w:noWrap w:val="0"/>
            <w:vAlign w:val="center"/>
          </w:tcPr>
          <w:p>
            <w:pPr>
              <w:jc w:val="center"/>
              <w:rPr>
                <w:rFonts w:hint="eastAsia" w:ascii="宋体" w:hAnsi="宋体" w:eastAsia="仿宋_GB2312" w:cs="宋体"/>
                <w:b/>
                <w:bCs/>
                <w:sz w:val="21"/>
                <w:szCs w:val="21"/>
              </w:rPr>
            </w:pPr>
            <w:r>
              <w:rPr>
                <w:rFonts w:hint="eastAsia" w:ascii="宋体" w:hAnsi="宋体" w:eastAsia="仿宋_GB2312" w:cs="宋体"/>
                <w:b/>
                <w:bCs/>
                <w:sz w:val="21"/>
                <w:szCs w:val="21"/>
              </w:rPr>
              <w:t>年末账面价值</w:t>
            </w:r>
          </w:p>
        </w:tc>
        <w:tc>
          <w:tcPr>
            <w:tcW w:w="2950" w:type="dxa"/>
            <w:noWrap w:val="0"/>
            <w:vAlign w:val="center"/>
          </w:tcPr>
          <w:p>
            <w:pPr>
              <w:jc w:val="center"/>
              <w:rPr>
                <w:rFonts w:hint="eastAsia" w:ascii="宋体" w:hAnsi="宋体" w:eastAsia="仿宋_GB2312" w:cs="宋体"/>
                <w:b/>
                <w:bCs/>
                <w:sz w:val="21"/>
                <w:szCs w:val="21"/>
              </w:rPr>
            </w:pPr>
            <w:r>
              <w:rPr>
                <w:rFonts w:hint="eastAsia" w:ascii="宋体" w:hAnsi="宋体" w:eastAsia="仿宋_GB2312" w:cs="宋体"/>
                <w:b/>
                <w:bCs/>
                <w:sz w:val="21"/>
                <w:szCs w:val="21"/>
              </w:rPr>
              <w:t>年初账面价值</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blHeader/>
        </w:trPr>
        <w:tc>
          <w:tcPr>
            <w:tcW w:w="3378" w:type="dxa"/>
            <w:noWrap w:val="0"/>
            <w:vAlign w:val="center"/>
          </w:tcPr>
          <w:p>
            <w:pPr>
              <w:ind w:firstLine="630" w:firstLineChars="300"/>
              <w:rPr>
                <w:rFonts w:hint="eastAsia" w:ascii="宋体" w:hAnsi="宋体" w:eastAsia="仿宋_GB2312" w:cs="Times New Roman"/>
                <w:szCs w:val="21"/>
              </w:rPr>
            </w:pPr>
            <w:r>
              <w:rPr>
                <w:rFonts w:hint="eastAsia" w:ascii="宋体" w:hAnsi="宋体" w:eastAsia="仿宋_GB2312" w:cs="Times New Roman"/>
                <w:szCs w:val="21"/>
              </w:rPr>
              <w:t>固定资产</w:t>
            </w:r>
          </w:p>
        </w:tc>
        <w:tc>
          <w:tcPr>
            <w:tcW w:w="2817" w:type="dxa"/>
            <w:noWrap w:val="0"/>
            <w:vAlign w:val="center"/>
          </w:tcPr>
          <w:p>
            <w:pPr>
              <w:jc w:val="right"/>
              <w:rPr>
                <w:rFonts w:hint="eastAsia" w:ascii="宋体" w:hAnsi="宋体" w:eastAsia="宋体" w:cs="Times New Roman"/>
                <w:b w:val="0"/>
                <w:bCs w:val="0"/>
                <w:color w:val="000000"/>
                <w:sz w:val="21"/>
                <w:szCs w:val="21"/>
              </w:rPr>
            </w:pPr>
            <w:r>
              <w:rPr>
                <w:rFonts w:hint="default" w:ascii="宋体" w:hAnsi="宋体" w:eastAsia="宋体" w:cs="Times New Roman"/>
                <w:b w:val="0"/>
                <w:bCs w:val="0"/>
                <w:color w:val="000000"/>
                <w:sz w:val="21"/>
                <w:szCs w:val="21"/>
              </w:rPr>
              <w:t>90,449,692,141.11</w:t>
            </w:r>
          </w:p>
        </w:tc>
        <w:tc>
          <w:tcPr>
            <w:tcW w:w="2950" w:type="dxa"/>
            <w:noWrap w:val="0"/>
            <w:vAlign w:val="center"/>
          </w:tcPr>
          <w:p>
            <w:pPr>
              <w:jc w:val="right"/>
              <w:rPr>
                <w:rFonts w:hint="eastAsia" w:ascii="宋体" w:hAnsi="宋体" w:eastAsia="宋体" w:cs="Times New Roman"/>
                <w:b w:val="0"/>
                <w:bCs w:val="0"/>
                <w:color w:val="000000"/>
                <w:sz w:val="21"/>
                <w:szCs w:val="21"/>
              </w:rPr>
            </w:pPr>
            <w:r>
              <w:rPr>
                <w:rFonts w:hint="default" w:ascii="宋体" w:hAnsi="宋体" w:eastAsia="宋体" w:cs="Times New Roman"/>
                <w:b w:val="0"/>
                <w:bCs w:val="0"/>
                <w:color w:val="000000"/>
                <w:sz w:val="21"/>
                <w:szCs w:val="21"/>
              </w:rPr>
              <w:t>80,586,454,751.83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blHeader/>
        </w:trPr>
        <w:tc>
          <w:tcPr>
            <w:tcW w:w="3378" w:type="dxa"/>
            <w:noWrap w:val="0"/>
            <w:vAlign w:val="center"/>
          </w:tcPr>
          <w:p>
            <w:pPr>
              <w:ind w:firstLine="630" w:firstLineChars="300"/>
              <w:rPr>
                <w:rFonts w:hint="eastAsia" w:ascii="宋体" w:hAnsi="宋体" w:eastAsia="仿宋_GB2312" w:cs="Times New Roman"/>
                <w:szCs w:val="21"/>
              </w:rPr>
            </w:pPr>
            <w:r>
              <w:rPr>
                <w:rFonts w:hint="eastAsia" w:ascii="宋体" w:hAnsi="宋体" w:eastAsia="仿宋_GB2312" w:cs="Times New Roman"/>
                <w:szCs w:val="21"/>
              </w:rPr>
              <w:t>固定资产清理</w:t>
            </w:r>
          </w:p>
        </w:tc>
        <w:tc>
          <w:tcPr>
            <w:tcW w:w="2817" w:type="dxa"/>
            <w:noWrap w:val="0"/>
            <w:vAlign w:val="center"/>
          </w:tcPr>
          <w:p>
            <w:pPr>
              <w:jc w:val="right"/>
              <w:rPr>
                <w:rFonts w:hint="eastAsia" w:ascii="宋体" w:hAnsi="宋体" w:eastAsia="宋体" w:cs="Times New Roman"/>
                <w:b w:val="0"/>
                <w:bCs w:val="0"/>
                <w:color w:val="000000"/>
                <w:sz w:val="21"/>
                <w:szCs w:val="21"/>
              </w:rPr>
            </w:pPr>
            <w:r>
              <w:rPr>
                <w:rFonts w:hint="default" w:ascii="宋体" w:hAnsi="宋体" w:eastAsia="宋体" w:cs="Times New Roman"/>
                <w:b w:val="0"/>
                <w:bCs w:val="0"/>
                <w:color w:val="000000"/>
                <w:sz w:val="21"/>
                <w:szCs w:val="21"/>
              </w:rPr>
              <w:t>10,242,628.55</w:t>
            </w:r>
          </w:p>
        </w:tc>
        <w:tc>
          <w:tcPr>
            <w:tcW w:w="2950" w:type="dxa"/>
            <w:noWrap w:val="0"/>
            <w:vAlign w:val="center"/>
          </w:tcPr>
          <w:p>
            <w:pPr>
              <w:jc w:val="right"/>
              <w:rPr>
                <w:rFonts w:hint="eastAsia" w:ascii="宋体" w:hAnsi="宋体" w:eastAsia="宋体" w:cs="Times New Roman"/>
                <w:b w:val="0"/>
                <w:bCs w:val="0"/>
                <w:color w:val="000000"/>
                <w:sz w:val="21"/>
                <w:szCs w:val="21"/>
              </w:rPr>
            </w:pPr>
            <w:r>
              <w:rPr>
                <w:rFonts w:hint="default" w:ascii="宋体" w:hAnsi="宋体" w:eastAsia="宋体" w:cs="Times New Roman"/>
                <w:b w:val="0"/>
                <w:bCs w:val="0"/>
                <w:color w:val="000000"/>
                <w:sz w:val="21"/>
                <w:szCs w:val="21"/>
              </w:rPr>
              <w:t>4,962,651.53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blHeader/>
        </w:trPr>
        <w:tc>
          <w:tcPr>
            <w:tcW w:w="3378" w:type="dxa"/>
            <w:noWrap w:val="0"/>
            <w:vAlign w:val="center"/>
          </w:tcPr>
          <w:p>
            <w:pPr>
              <w:ind w:firstLine="632" w:firstLineChars="300"/>
              <w:rPr>
                <w:rFonts w:hint="eastAsia" w:ascii="宋体" w:hAnsi="宋体" w:eastAsia="仿宋_GB2312" w:cs="Times New Roman"/>
                <w:szCs w:val="21"/>
              </w:rPr>
            </w:pPr>
            <w:r>
              <w:rPr>
                <w:rFonts w:hint="eastAsia" w:ascii="宋体" w:hAnsi="宋体" w:eastAsia="仿宋_GB2312" w:cs="Times New Roman"/>
                <w:b/>
                <w:bCs/>
                <w:szCs w:val="21"/>
              </w:rPr>
              <w:t>合计</w:t>
            </w:r>
          </w:p>
        </w:tc>
        <w:tc>
          <w:tcPr>
            <w:tcW w:w="2817" w:type="dxa"/>
            <w:noWrap w:val="0"/>
            <w:vAlign w:val="center"/>
          </w:tcPr>
          <w:p>
            <w:pPr>
              <w:jc w:val="right"/>
              <w:rPr>
                <w:rFonts w:hint="eastAsia" w:ascii="宋体" w:hAnsi="宋体" w:eastAsia="宋体" w:cs="Times New Roman"/>
                <w:b/>
                <w:bCs/>
                <w:color w:val="000000"/>
                <w:sz w:val="21"/>
                <w:szCs w:val="21"/>
              </w:rPr>
            </w:pPr>
            <w:r>
              <w:rPr>
                <w:rFonts w:hint="default" w:ascii="宋体" w:hAnsi="宋体" w:eastAsia="宋体" w:cs="Times New Roman"/>
                <w:b/>
                <w:bCs/>
                <w:color w:val="000000"/>
                <w:sz w:val="21"/>
                <w:szCs w:val="21"/>
              </w:rPr>
              <w:t>90,459,934,769.66</w:t>
            </w:r>
          </w:p>
        </w:tc>
        <w:tc>
          <w:tcPr>
            <w:tcW w:w="2950" w:type="dxa"/>
            <w:noWrap w:val="0"/>
            <w:vAlign w:val="center"/>
          </w:tcPr>
          <w:p>
            <w:pPr>
              <w:jc w:val="right"/>
              <w:rPr>
                <w:rFonts w:hint="eastAsia" w:ascii="宋体" w:hAnsi="宋体" w:eastAsia="宋体" w:cs="Times New Roman"/>
                <w:b/>
                <w:bCs/>
                <w:color w:val="000000"/>
                <w:sz w:val="21"/>
                <w:szCs w:val="21"/>
              </w:rPr>
            </w:pPr>
            <w:r>
              <w:rPr>
                <w:rFonts w:hint="default" w:ascii="宋体" w:hAnsi="宋体" w:eastAsia="宋体" w:cs="Times New Roman"/>
                <w:b/>
                <w:bCs/>
                <w:color w:val="000000"/>
                <w:sz w:val="21"/>
                <w:szCs w:val="21"/>
              </w:rPr>
              <w:t>80,591,417,403.36</w:t>
            </w:r>
          </w:p>
        </w:tc>
      </w:tr>
    </w:tbl>
    <w:p>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640" w:firstLineChars="200"/>
        <w:jc w:val="both"/>
        <w:textAlignment w:val="auto"/>
        <w:outlineLvl w:val="1"/>
        <w:rPr>
          <w:rFonts w:hint="eastAsia" w:ascii="宋体" w:hAnsi="宋体"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640" w:firstLineChars="200"/>
        <w:jc w:val="both"/>
        <w:textAlignment w:val="auto"/>
        <w:outlineLvl w:val="1"/>
        <w:rPr>
          <w:rFonts w:hint="eastAsia" w:ascii="宋体" w:hAnsi="宋体" w:eastAsia="仿宋_GB2312" w:cs="Times New Roman"/>
          <w:b/>
          <w:bCs/>
          <w:lang w:val="en-US" w:eastAsia="zh-CN"/>
        </w:rPr>
      </w:pPr>
      <w:r>
        <w:rPr>
          <w:rFonts w:hint="eastAsia" w:ascii="宋体" w:hAnsi="宋体" w:eastAsia="仿宋_GB2312" w:cs="仿宋_GB2312"/>
          <w:b w:val="0"/>
          <w:bCs w:val="0"/>
          <w:sz w:val="32"/>
          <w:szCs w:val="32"/>
          <w:lang w:val="en-US" w:eastAsia="zh-CN"/>
        </w:rPr>
        <w:t>其中：固定资产情况</w:t>
      </w:r>
    </w:p>
    <w:tbl>
      <w:tblPr>
        <w:tblStyle w:val="11"/>
        <w:tblpPr w:leftFromText="180" w:rightFromText="180" w:vertAnchor="text" w:horzAnchor="page" w:tblpX="1576" w:tblpY="501"/>
        <w:tblOverlap w:val="never"/>
        <w:tblW w:w="4991" w:type="pct"/>
        <w:tblInd w:w="0"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220"/>
        <w:gridCol w:w="1800"/>
        <w:gridCol w:w="1635"/>
        <w:gridCol w:w="1635"/>
        <w:gridCol w:w="1755"/>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blHeader/>
        </w:trPr>
        <w:tc>
          <w:tcPr>
            <w:tcW w:w="1227" w:type="pct"/>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项目</w:t>
            </w:r>
          </w:p>
        </w:tc>
        <w:tc>
          <w:tcPr>
            <w:tcW w:w="995" w:type="pct"/>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年初余额</w:t>
            </w:r>
          </w:p>
        </w:tc>
        <w:tc>
          <w:tcPr>
            <w:tcW w:w="903" w:type="pct"/>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本年增加</w:t>
            </w:r>
          </w:p>
        </w:tc>
        <w:tc>
          <w:tcPr>
            <w:tcW w:w="903" w:type="pct"/>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本年减少</w:t>
            </w:r>
          </w:p>
        </w:tc>
        <w:tc>
          <w:tcPr>
            <w:tcW w:w="970" w:type="pct"/>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年末余额</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rPr>
                <w:rFonts w:hint="eastAsia" w:ascii="宋体" w:hAnsi="宋体" w:eastAsia="仿宋_GB2312" w:cs="Times New Roman"/>
                <w:sz w:val="20"/>
                <w:szCs w:val="20"/>
              </w:rPr>
            </w:pPr>
            <w:r>
              <w:rPr>
                <w:rFonts w:hint="eastAsia" w:ascii="宋体" w:hAnsi="宋体" w:eastAsia="仿宋_GB2312" w:cs="Times New Roman"/>
                <w:b/>
                <w:bCs/>
                <w:sz w:val="20"/>
                <w:szCs w:val="20"/>
                <w:lang w:val="en-US" w:eastAsia="zh-CN"/>
              </w:rPr>
              <w:t>一、</w:t>
            </w:r>
            <w:r>
              <w:rPr>
                <w:rFonts w:hint="eastAsia" w:ascii="宋体" w:hAnsi="宋体" w:eastAsia="仿宋_GB2312" w:cs="Times New Roman"/>
                <w:b/>
                <w:bCs/>
                <w:sz w:val="20"/>
                <w:szCs w:val="20"/>
              </w:rPr>
              <w:t>账面原值合计</w:t>
            </w:r>
          </w:p>
        </w:tc>
        <w:tc>
          <w:tcPr>
            <w:tcW w:w="995"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115,264,514,760.28</w:t>
            </w:r>
          </w:p>
        </w:tc>
        <w:tc>
          <w:tcPr>
            <w:tcW w:w="903"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17,118,184,545.06</w:t>
            </w:r>
          </w:p>
        </w:tc>
        <w:tc>
          <w:tcPr>
            <w:tcW w:w="903"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 xml:space="preserve">3,714,548,194.36 </w:t>
            </w:r>
          </w:p>
        </w:tc>
        <w:tc>
          <w:tcPr>
            <w:tcW w:w="970" w:type="pct"/>
            <w:noWrap w:val="0"/>
            <w:vAlign w:val="center"/>
          </w:tcPr>
          <w:p>
            <w:pPr>
              <w:jc w:val="right"/>
              <w:rPr>
                <w:rFonts w:hint="eastAsia" w:ascii="宋体" w:hAnsi="宋体" w:eastAsia="宋体" w:cs="Times New Roman"/>
                <w:b/>
                <w:bCs/>
                <w:sz w:val="16"/>
                <w:szCs w:val="16"/>
              </w:rPr>
            </w:pPr>
            <w:r>
              <w:rPr>
                <w:rFonts w:hint="eastAsia" w:ascii="宋体" w:hAnsi="宋体" w:eastAsia="宋体" w:cs="Times New Roman"/>
                <w:b/>
                <w:bCs/>
                <w:sz w:val="16"/>
                <w:szCs w:val="16"/>
                <w:lang w:val="en-US" w:eastAsia="zh-CN"/>
              </w:rPr>
              <w:t>128,668,151,110.98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rPr>
                <w:rFonts w:hint="eastAsia" w:ascii="宋体" w:hAnsi="宋体" w:eastAsia="仿宋_GB2312" w:cs="Times New Roman"/>
                <w:sz w:val="20"/>
                <w:szCs w:val="20"/>
              </w:rPr>
            </w:pPr>
            <w:r>
              <w:rPr>
                <w:rFonts w:hint="eastAsia" w:ascii="宋体" w:hAnsi="宋体" w:eastAsia="仿宋_GB2312" w:cs="Times New Roman"/>
                <w:sz w:val="20"/>
                <w:szCs w:val="20"/>
                <w:lang w:val="en-US" w:eastAsia="zh-CN"/>
              </w:rPr>
              <w:t>其中：土地资产</w:t>
            </w:r>
          </w:p>
        </w:tc>
        <w:tc>
          <w:tcPr>
            <w:tcW w:w="995"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124,222,756.86</w:t>
            </w:r>
          </w:p>
        </w:tc>
        <w:tc>
          <w:tcPr>
            <w:tcW w:w="903" w:type="pct"/>
            <w:noWrap w:val="0"/>
            <w:vAlign w:val="center"/>
          </w:tcPr>
          <w:p>
            <w:pPr>
              <w:jc w:val="right"/>
              <w:rPr>
                <w:rFonts w:hint="eastAsia" w:ascii="宋体" w:hAnsi="宋体" w:eastAsia="宋体" w:cs="Times New Roman"/>
                <w:sz w:val="16"/>
                <w:szCs w:val="16"/>
              </w:rPr>
            </w:pPr>
          </w:p>
        </w:tc>
        <w:tc>
          <w:tcPr>
            <w:tcW w:w="903" w:type="pct"/>
            <w:noWrap w:val="0"/>
            <w:vAlign w:val="center"/>
          </w:tcPr>
          <w:p>
            <w:pPr>
              <w:jc w:val="right"/>
              <w:rPr>
                <w:rFonts w:hint="eastAsia" w:ascii="宋体" w:hAnsi="宋体" w:eastAsia="宋体" w:cs="Times New Roman"/>
                <w:sz w:val="16"/>
                <w:szCs w:val="16"/>
              </w:rPr>
            </w:pPr>
          </w:p>
        </w:tc>
        <w:tc>
          <w:tcPr>
            <w:tcW w:w="970"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124,222,756.86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rPr>
            </w:pPr>
            <w:r>
              <w:rPr>
                <w:rFonts w:hint="eastAsia" w:ascii="宋体" w:hAnsi="宋体" w:eastAsia="仿宋_GB2312" w:cs="Times New Roman"/>
                <w:sz w:val="20"/>
                <w:szCs w:val="20"/>
                <w:lang w:val="en-US" w:eastAsia="zh-CN"/>
              </w:rPr>
              <w:t>房屋及建筑物</w:t>
            </w:r>
          </w:p>
        </w:tc>
        <w:tc>
          <w:tcPr>
            <w:tcW w:w="995"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13,968,491,819.72</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2,134,336,616.58</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396,302,798.86</w:t>
            </w:r>
          </w:p>
        </w:tc>
        <w:tc>
          <w:tcPr>
            <w:tcW w:w="970"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15,706,525,637.44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rPr>
            </w:pPr>
            <w:r>
              <w:rPr>
                <w:rFonts w:hint="eastAsia" w:ascii="宋体" w:hAnsi="宋体" w:eastAsia="仿宋_GB2312" w:cs="Times New Roman"/>
                <w:sz w:val="20"/>
                <w:szCs w:val="20"/>
                <w:lang w:val="en-US" w:eastAsia="zh-CN"/>
              </w:rPr>
              <w:t>港务设施</w:t>
            </w:r>
          </w:p>
        </w:tc>
        <w:tc>
          <w:tcPr>
            <w:tcW w:w="995"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50,672,406,912.43</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5,693,747,941.72</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601,685,257.57</w:t>
            </w:r>
          </w:p>
        </w:tc>
        <w:tc>
          <w:tcPr>
            <w:tcW w:w="970"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55,764,469,596.58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rPr>
            </w:pPr>
            <w:r>
              <w:rPr>
                <w:rFonts w:hint="eastAsia" w:ascii="宋体" w:hAnsi="宋体" w:eastAsia="仿宋_GB2312" w:cs="Times New Roman"/>
                <w:sz w:val="20"/>
                <w:szCs w:val="20"/>
                <w:lang w:val="en-US" w:eastAsia="zh-CN"/>
              </w:rPr>
              <w:t>库场设施</w:t>
            </w:r>
          </w:p>
        </w:tc>
        <w:tc>
          <w:tcPr>
            <w:tcW w:w="995"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19,791,460,533.03</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5,076,100,206.03</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749,991,920.78</w:t>
            </w:r>
          </w:p>
        </w:tc>
        <w:tc>
          <w:tcPr>
            <w:tcW w:w="970"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24,117,568,818.28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rPr>
            </w:pPr>
            <w:r>
              <w:rPr>
                <w:rFonts w:hint="eastAsia" w:ascii="宋体" w:hAnsi="宋体" w:eastAsia="仿宋_GB2312" w:cs="Times New Roman"/>
                <w:sz w:val="20"/>
                <w:szCs w:val="20"/>
                <w:lang w:val="en-US" w:eastAsia="zh-CN"/>
              </w:rPr>
              <w:t>装卸机器设备</w:t>
            </w:r>
          </w:p>
        </w:tc>
        <w:tc>
          <w:tcPr>
            <w:tcW w:w="995"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15,484,585,476.19</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2,248,674,345.19</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375,583,978.13</w:t>
            </w:r>
          </w:p>
        </w:tc>
        <w:tc>
          <w:tcPr>
            <w:tcW w:w="970"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17,357,675,843.25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rPr>
            </w:pPr>
            <w:r>
              <w:rPr>
                <w:rFonts w:hint="eastAsia" w:ascii="宋体" w:hAnsi="宋体" w:eastAsia="仿宋_GB2312" w:cs="Times New Roman"/>
                <w:sz w:val="20"/>
                <w:szCs w:val="20"/>
                <w:lang w:val="en-US" w:eastAsia="zh-CN"/>
              </w:rPr>
              <w:t>船舶</w:t>
            </w:r>
          </w:p>
        </w:tc>
        <w:tc>
          <w:tcPr>
            <w:tcW w:w="995"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5,949,981,256.68</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832,909,611.20</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706,982,500.04</w:t>
            </w:r>
          </w:p>
        </w:tc>
        <w:tc>
          <w:tcPr>
            <w:tcW w:w="970"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6,075,908,367.84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rPr>
            </w:pPr>
            <w:r>
              <w:rPr>
                <w:rFonts w:hint="eastAsia" w:ascii="宋体" w:hAnsi="宋体" w:eastAsia="仿宋_GB2312" w:cs="Times New Roman"/>
                <w:sz w:val="20"/>
                <w:szCs w:val="20"/>
                <w:lang w:val="en-US" w:eastAsia="zh-CN"/>
              </w:rPr>
              <w:t>集装箱</w:t>
            </w:r>
          </w:p>
        </w:tc>
        <w:tc>
          <w:tcPr>
            <w:tcW w:w="995"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207,582,076.00</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132,501,541.06</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33,467,118.59</w:t>
            </w:r>
          </w:p>
        </w:tc>
        <w:tc>
          <w:tcPr>
            <w:tcW w:w="970"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306,616,498.47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rPr>
            </w:pPr>
            <w:r>
              <w:rPr>
                <w:rFonts w:hint="eastAsia" w:ascii="宋体" w:hAnsi="宋体" w:eastAsia="仿宋_GB2312" w:cs="Times New Roman"/>
                <w:sz w:val="20"/>
                <w:szCs w:val="20"/>
                <w:lang w:val="en-US" w:eastAsia="zh-CN"/>
              </w:rPr>
              <w:t>信息化设备</w:t>
            </w:r>
          </w:p>
        </w:tc>
        <w:tc>
          <w:tcPr>
            <w:tcW w:w="995"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1,271,130,660.59</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209,245,526.58</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103,394,795.76</w:t>
            </w:r>
          </w:p>
        </w:tc>
        <w:tc>
          <w:tcPr>
            <w:tcW w:w="970"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1,376,981,391.41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rPr>
            </w:pPr>
            <w:r>
              <w:rPr>
                <w:rFonts w:hint="eastAsia" w:ascii="宋体" w:hAnsi="宋体" w:eastAsia="仿宋_GB2312" w:cs="Times New Roman"/>
                <w:sz w:val="20"/>
                <w:szCs w:val="20"/>
                <w:lang w:val="en-US" w:eastAsia="zh-CN"/>
              </w:rPr>
              <w:t>运输工具</w:t>
            </w:r>
          </w:p>
        </w:tc>
        <w:tc>
          <w:tcPr>
            <w:tcW w:w="995"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1,000,694,970.78</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136,070,199.26</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64,340,548.63</w:t>
            </w:r>
          </w:p>
        </w:tc>
        <w:tc>
          <w:tcPr>
            <w:tcW w:w="970"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1,072,424,621.41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rPr>
            </w:pPr>
            <w:r>
              <w:rPr>
                <w:rFonts w:hint="eastAsia" w:ascii="宋体" w:hAnsi="宋体" w:eastAsia="仿宋_GB2312" w:cs="Times New Roman"/>
                <w:sz w:val="20"/>
                <w:szCs w:val="20"/>
                <w:lang w:val="en-US" w:eastAsia="zh-CN"/>
              </w:rPr>
              <w:t>辅助机器设备</w:t>
            </w:r>
          </w:p>
        </w:tc>
        <w:tc>
          <w:tcPr>
            <w:tcW w:w="995"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5,860,732,046.64</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607,749,547.10</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494,240,531.57</w:t>
            </w:r>
          </w:p>
        </w:tc>
        <w:tc>
          <w:tcPr>
            <w:tcW w:w="970"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5,974,241,062.17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rPr>
            </w:pPr>
            <w:r>
              <w:rPr>
                <w:rFonts w:hint="eastAsia" w:ascii="宋体" w:hAnsi="宋体" w:eastAsia="仿宋_GB2312" w:cs="Times New Roman"/>
                <w:sz w:val="20"/>
                <w:szCs w:val="20"/>
                <w:lang w:val="en-US" w:eastAsia="zh-CN"/>
              </w:rPr>
              <w:t>办公设备</w:t>
            </w:r>
          </w:p>
        </w:tc>
        <w:tc>
          <w:tcPr>
            <w:tcW w:w="995"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795,858,659.42</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46,051,512.83</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161,896,468.70</w:t>
            </w:r>
          </w:p>
        </w:tc>
        <w:tc>
          <w:tcPr>
            <w:tcW w:w="970"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680,013,703.55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rPr>
            </w:pPr>
            <w:r>
              <w:rPr>
                <w:rFonts w:hint="eastAsia" w:ascii="宋体" w:hAnsi="宋体" w:eastAsia="仿宋_GB2312" w:cs="Times New Roman"/>
                <w:sz w:val="20"/>
                <w:szCs w:val="20"/>
                <w:lang w:val="en-US" w:eastAsia="zh-CN"/>
              </w:rPr>
              <w:t>其他</w:t>
            </w:r>
          </w:p>
        </w:tc>
        <w:tc>
          <w:tcPr>
            <w:tcW w:w="995"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137,367,591.94</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797,497.51</w:t>
            </w:r>
          </w:p>
        </w:tc>
        <w:tc>
          <w:tcPr>
            <w:tcW w:w="903"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26,662,275.73</w:t>
            </w:r>
          </w:p>
        </w:tc>
        <w:tc>
          <w:tcPr>
            <w:tcW w:w="970" w:type="pct"/>
            <w:noWrap w:val="0"/>
            <w:vAlign w:val="center"/>
          </w:tcPr>
          <w:p>
            <w:pPr>
              <w:jc w:val="right"/>
              <w:rPr>
                <w:rFonts w:hint="eastAsia" w:ascii="宋体" w:hAnsi="宋体" w:eastAsia="宋体" w:cs="Times New Roman"/>
                <w:sz w:val="16"/>
                <w:szCs w:val="16"/>
              </w:rPr>
            </w:pPr>
            <w:r>
              <w:rPr>
                <w:rFonts w:hint="eastAsia" w:ascii="宋体" w:hAnsi="宋体" w:eastAsia="宋体" w:cs="Times New Roman"/>
                <w:sz w:val="16"/>
                <w:szCs w:val="16"/>
                <w:lang w:val="en-US" w:eastAsia="zh-CN"/>
              </w:rPr>
              <w:t>111,502,813.72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rPr>
                <w:rFonts w:hint="eastAsia" w:ascii="宋体" w:hAnsi="宋体" w:eastAsia="仿宋_GB2312" w:cs="Times New Roman"/>
                <w:sz w:val="20"/>
                <w:szCs w:val="20"/>
                <w:lang w:val="en-US" w:eastAsia="zh-CN"/>
              </w:rPr>
            </w:pPr>
            <w:r>
              <w:rPr>
                <w:rFonts w:hint="eastAsia" w:ascii="宋体" w:hAnsi="宋体" w:eastAsia="仿宋_GB2312" w:cs="Times New Roman"/>
                <w:b/>
                <w:bCs/>
                <w:sz w:val="20"/>
                <w:szCs w:val="20"/>
                <w:lang w:val="en-US" w:eastAsia="zh-CN"/>
              </w:rPr>
              <w:t>二、累计折旧合计</w:t>
            </w:r>
          </w:p>
        </w:tc>
        <w:tc>
          <w:tcPr>
            <w:tcW w:w="995"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34,395,533,442.69</w:t>
            </w:r>
          </w:p>
        </w:tc>
        <w:tc>
          <w:tcPr>
            <w:tcW w:w="903" w:type="pct"/>
            <w:noWrap w:val="0"/>
            <w:vAlign w:val="center"/>
          </w:tcPr>
          <w:p>
            <w:pPr>
              <w:keepNext w:val="0"/>
              <w:keepLines w:val="0"/>
              <w:widowControl/>
              <w:suppressLineNumbers w:val="0"/>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4,881,135,309.81</w:t>
            </w:r>
          </w:p>
        </w:tc>
        <w:tc>
          <w:tcPr>
            <w:tcW w:w="903" w:type="pct"/>
            <w:noWrap w:val="0"/>
            <w:vAlign w:val="center"/>
          </w:tcPr>
          <w:p>
            <w:pPr>
              <w:keepNext w:val="0"/>
              <w:keepLines w:val="0"/>
              <w:widowControl/>
              <w:suppressLineNumbers w:val="0"/>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1,618,036,149.67</w:t>
            </w:r>
          </w:p>
        </w:tc>
        <w:tc>
          <w:tcPr>
            <w:tcW w:w="970"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37,658,632,602.83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其中：土地资产</w:t>
            </w:r>
          </w:p>
        </w:tc>
        <w:tc>
          <w:tcPr>
            <w:tcW w:w="995" w:type="pct"/>
            <w:noWrap w:val="0"/>
            <w:vAlign w:val="center"/>
          </w:tcPr>
          <w:p>
            <w:pPr>
              <w:jc w:val="right"/>
              <w:rPr>
                <w:rFonts w:hint="eastAsia" w:ascii="宋体" w:hAnsi="宋体" w:eastAsia="宋体" w:cs="Times New Roman"/>
                <w:sz w:val="16"/>
                <w:szCs w:val="16"/>
                <w:lang w:val="en-US" w:eastAsia="zh-CN"/>
              </w:rPr>
            </w:pPr>
          </w:p>
        </w:tc>
        <w:tc>
          <w:tcPr>
            <w:tcW w:w="903" w:type="pct"/>
            <w:noWrap w:val="0"/>
            <w:vAlign w:val="center"/>
          </w:tcPr>
          <w:p>
            <w:pPr>
              <w:jc w:val="right"/>
              <w:rPr>
                <w:rFonts w:hint="eastAsia" w:ascii="宋体" w:hAnsi="宋体" w:eastAsia="宋体" w:cs="Times New Roman"/>
                <w:sz w:val="16"/>
                <w:szCs w:val="16"/>
                <w:lang w:val="en-US" w:eastAsia="zh-CN"/>
              </w:rPr>
            </w:pPr>
          </w:p>
        </w:tc>
        <w:tc>
          <w:tcPr>
            <w:tcW w:w="903" w:type="pct"/>
            <w:noWrap w:val="0"/>
            <w:vAlign w:val="center"/>
          </w:tcPr>
          <w:p>
            <w:pPr>
              <w:jc w:val="right"/>
              <w:rPr>
                <w:rFonts w:hint="eastAsia" w:ascii="宋体" w:hAnsi="宋体" w:eastAsia="宋体" w:cs="Times New Roman"/>
                <w:sz w:val="16"/>
                <w:szCs w:val="16"/>
                <w:lang w:val="en-US" w:eastAsia="zh-CN"/>
              </w:rPr>
            </w:pPr>
          </w:p>
        </w:tc>
        <w:tc>
          <w:tcPr>
            <w:tcW w:w="970" w:type="pct"/>
            <w:noWrap w:val="0"/>
            <w:vAlign w:val="center"/>
          </w:tcPr>
          <w:p>
            <w:pPr>
              <w:jc w:val="right"/>
              <w:rPr>
                <w:rFonts w:hint="eastAsia" w:ascii="宋体" w:hAnsi="宋体" w:eastAsia="宋体" w:cs="Times New Roman"/>
                <w:sz w:val="16"/>
                <w:szCs w:val="16"/>
                <w:lang w:val="en-US" w:eastAsia="zh-CN"/>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房屋及建筑物</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2,949,686,225.87</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479,952,681.65</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92,572,697.77</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3,337,066,209.75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港务设施</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10,086,064,791.53</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1,531,278,553.94</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162,988,273.06</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11,454,355,072.41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库场设施</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4,036,128,259.05</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741,745,421.44</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146,606,342.30</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4,631,267,338.19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装卸机器设备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9,549,988,029.66</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938,877,502.03</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 xml:space="preserve">367,779,173.61 </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10,121,086,358.08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船舶</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2,543,647,147.48</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362,400,113.43</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275,879,365.84</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2,630,167,895.07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集装箱</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100,413,617.51</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45,330,417.35</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29,810,147.88</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115,933,886.98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信息化设备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588,139,080.35</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160,955,334.17</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 xml:space="preserve">81,265,229.11 </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667,829,185.41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运输工具</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652,263,768.44</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82,513,160.65</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54,928,093.78</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679,848,835.31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辅助机器设备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3,386,982,374.87</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517,634,784.41</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375,724,906.20</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3,528,892,253.08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办公设备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460,659,098.97</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19,680,874.15</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28,390,715.41</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451,949,257.71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其他</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41,561,048.96</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766,466.59</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2,091,204.71</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40,236,310.84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rPr>
                <w:rFonts w:hint="eastAsia" w:ascii="宋体" w:hAnsi="宋体" w:eastAsia="仿宋_GB2312" w:cs="Times New Roman"/>
                <w:sz w:val="20"/>
                <w:szCs w:val="20"/>
                <w:lang w:val="en-US" w:eastAsia="zh-CN"/>
              </w:rPr>
            </w:pPr>
            <w:r>
              <w:rPr>
                <w:rFonts w:hint="eastAsia" w:ascii="宋体" w:hAnsi="宋体" w:eastAsia="仿宋_GB2312" w:cs="Times New Roman"/>
                <w:b/>
                <w:bCs/>
                <w:sz w:val="20"/>
                <w:szCs w:val="20"/>
                <w:lang w:val="en-US" w:eastAsia="zh-CN"/>
              </w:rPr>
              <w:t>三、固定资产净值合计</w:t>
            </w:r>
          </w:p>
        </w:tc>
        <w:tc>
          <w:tcPr>
            <w:tcW w:w="995"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80,868,981,317.59</w:t>
            </w:r>
          </w:p>
        </w:tc>
        <w:tc>
          <w:tcPr>
            <w:tcW w:w="903"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w:t>
            </w:r>
          </w:p>
        </w:tc>
        <w:tc>
          <w:tcPr>
            <w:tcW w:w="903"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w:t>
            </w:r>
          </w:p>
        </w:tc>
        <w:tc>
          <w:tcPr>
            <w:tcW w:w="970"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91,009,518,508.15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其中：土地资产</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124,222,756.86</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124,222,756.86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房屋及建筑物</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11,018,805,593.85</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12,369,459,427.69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港务设施</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40,586,342,120.90</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44,310,114,524.17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库场设施</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15,755,332,273.98</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19,486,301,480.09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装卸机器设备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5,934,597,446.53</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7,236,589,485.17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船舶</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3,406,334,109.20</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3,445,740,472.77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集装箱</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107,168,458.49</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190,682,611.49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信息化设备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682,991,580.24</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709,152,206.00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运输工具</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348,431,202.34</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392,575,786.10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辅助机器设备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2,473,749,671.77</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2,445,348,809.09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办公设备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335,199,560.45</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228,064,445.84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其他</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95,806,542.98</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71,266,502.88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PrEx>
        <w:trPr>
          <w:trHeight w:val="386" w:hRule="atLeast"/>
        </w:trPr>
        <w:tc>
          <w:tcPr>
            <w:tcW w:w="1227" w:type="pct"/>
            <w:noWrap w:val="0"/>
            <w:vAlign w:val="center"/>
          </w:tcPr>
          <w:p>
            <w:pPr>
              <w:rPr>
                <w:rFonts w:hint="eastAsia" w:ascii="宋体" w:hAnsi="宋体" w:eastAsia="仿宋_GB2312" w:cs="Times New Roman"/>
                <w:sz w:val="20"/>
                <w:szCs w:val="20"/>
                <w:lang w:val="en-US" w:eastAsia="zh-CN"/>
              </w:rPr>
            </w:pPr>
            <w:r>
              <w:rPr>
                <w:rFonts w:hint="eastAsia" w:ascii="宋体" w:hAnsi="宋体" w:eastAsia="仿宋_GB2312" w:cs="Times New Roman"/>
                <w:b/>
                <w:bCs/>
                <w:sz w:val="20"/>
                <w:szCs w:val="20"/>
                <w:lang w:val="en-US" w:eastAsia="zh-CN"/>
              </w:rPr>
              <w:t>四、固定资产减值合计</w:t>
            </w:r>
          </w:p>
        </w:tc>
        <w:tc>
          <w:tcPr>
            <w:tcW w:w="995"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282,526,565.76</w:t>
            </w:r>
          </w:p>
        </w:tc>
        <w:tc>
          <w:tcPr>
            <w:tcW w:w="903"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461,511,624.11</w:t>
            </w:r>
          </w:p>
        </w:tc>
        <w:tc>
          <w:tcPr>
            <w:tcW w:w="903"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184,211,822.83</w:t>
            </w:r>
          </w:p>
        </w:tc>
        <w:tc>
          <w:tcPr>
            <w:tcW w:w="970"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559,826,367.04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其中：土地资产</w:t>
            </w:r>
          </w:p>
        </w:tc>
        <w:tc>
          <w:tcPr>
            <w:tcW w:w="995" w:type="pct"/>
            <w:noWrap w:val="0"/>
            <w:vAlign w:val="center"/>
          </w:tcPr>
          <w:p>
            <w:pPr>
              <w:jc w:val="right"/>
              <w:rPr>
                <w:rFonts w:hint="eastAsia" w:ascii="宋体" w:hAnsi="宋体" w:eastAsia="宋体" w:cs="Times New Roman"/>
                <w:sz w:val="16"/>
                <w:szCs w:val="16"/>
                <w:lang w:val="en-US" w:eastAsia="zh-CN"/>
              </w:rPr>
            </w:pPr>
          </w:p>
        </w:tc>
        <w:tc>
          <w:tcPr>
            <w:tcW w:w="903" w:type="pct"/>
            <w:noWrap w:val="0"/>
            <w:vAlign w:val="center"/>
          </w:tcPr>
          <w:p>
            <w:pPr>
              <w:jc w:val="right"/>
              <w:rPr>
                <w:rFonts w:hint="eastAsia" w:ascii="宋体" w:hAnsi="宋体" w:eastAsia="宋体" w:cs="Times New Roman"/>
                <w:sz w:val="16"/>
                <w:szCs w:val="16"/>
                <w:lang w:val="en-US" w:eastAsia="zh-CN"/>
              </w:rPr>
            </w:pPr>
          </w:p>
        </w:tc>
        <w:tc>
          <w:tcPr>
            <w:tcW w:w="903" w:type="pct"/>
            <w:noWrap w:val="0"/>
            <w:vAlign w:val="center"/>
          </w:tcPr>
          <w:p>
            <w:pPr>
              <w:jc w:val="right"/>
              <w:rPr>
                <w:rFonts w:hint="eastAsia" w:ascii="宋体" w:hAnsi="宋体" w:eastAsia="宋体" w:cs="Times New Roman"/>
                <w:sz w:val="16"/>
                <w:szCs w:val="16"/>
                <w:lang w:val="en-US" w:eastAsia="zh-CN"/>
              </w:rPr>
            </w:pPr>
          </w:p>
        </w:tc>
        <w:tc>
          <w:tcPr>
            <w:tcW w:w="970" w:type="pct"/>
            <w:noWrap w:val="0"/>
            <w:vAlign w:val="center"/>
          </w:tcPr>
          <w:p>
            <w:pPr>
              <w:jc w:val="right"/>
              <w:rPr>
                <w:rFonts w:hint="eastAsia" w:ascii="宋体" w:hAnsi="宋体" w:eastAsia="宋体" w:cs="Times New Roman"/>
                <w:sz w:val="16"/>
                <w:szCs w:val="16"/>
                <w:lang w:val="en-US" w:eastAsia="zh-CN"/>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房屋及建筑物</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39,407,800.81</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8,796,167.99</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557,806.63</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47,646,162.17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港务设施</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24,731,718.82</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145,443,168.32</w:t>
            </w:r>
          </w:p>
        </w:tc>
        <w:tc>
          <w:tcPr>
            <w:tcW w:w="903" w:type="pct"/>
            <w:noWrap w:val="0"/>
            <w:vAlign w:val="center"/>
          </w:tcPr>
          <w:p>
            <w:pPr>
              <w:jc w:val="right"/>
              <w:rPr>
                <w:rFonts w:hint="eastAsia" w:ascii="宋体" w:hAnsi="宋体" w:eastAsia="宋体" w:cs="Times New Roman"/>
                <w:sz w:val="16"/>
                <w:szCs w:val="16"/>
                <w:lang w:val="en-US" w:eastAsia="zh-CN"/>
              </w:rPr>
            </w:pP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170,174,887.14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库场设施</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7,969,190.18</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66,463,454.58</w:t>
            </w:r>
          </w:p>
        </w:tc>
        <w:tc>
          <w:tcPr>
            <w:tcW w:w="903" w:type="pct"/>
            <w:noWrap w:val="0"/>
            <w:vAlign w:val="center"/>
          </w:tcPr>
          <w:p>
            <w:pPr>
              <w:jc w:val="right"/>
              <w:rPr>
                <w:rFonts w:hint="eastAsia" w:ascii="宋体" w:hAnsi="宋体" w:eastAsia="宋体" w:cs="Times New Roman"/>
                <w:sz w:val="16"/>
                <w:szCs w:val="16"/>
                <w:lang w:val="en-US" w:eastAsia="zh-CN"/>
              </w:rPr>
            </w:pP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74,432,644.76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装卸机器设备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29,610,613.14</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13,518,503.60</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28,933,540.80</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14,195,575.94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船舶</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150,586,641.73</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194,313,639.65</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154,429,508.35</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190,470,773.03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集装箱</w:t>
            </w:r>
          </w:p>
        </w:tc>
        <w:tc>
          <w:tcPr>
            <w:tcW w:w="995" w:type="pct"/>
            <w:noWrap w:val="0"/>
            <w:vAlign w:val="center"/>
          </w:tcPr>
          <w:p>
            <w:pPr>
              <w:jc w:val="right"/>
              <w:rPr>
                <w:rFonts w:hint="eastAsia" w:ascii="宋体" w:hAnsi="宋体" w:eastAsia="宋体" w:cs="Times New Roman"/>
                <w:sz w:val="16"/>
                <w:szCs w:val="16"/>
                <w:lang w:val="en-US" w:eastAsia="zh-CN"/>
              </w:rPr>
            </w:pPr>
          </w:p>
        </w:tc>
        <w:tc>
          <w:tcPr>
            <w:tcW w:w="903" w:type="pct"/>
            <w:noWrap w:val="0"/>
            <w:vAlign w:val="center"/>
          </w:tcPr>
          <w:p>
            <w:pPr>
              <w:jc w:val="right"/>
              <w:rPr>
                <w:rFonts w:hint="eastAsia" w:ascii="宋体" w:hAnsi="宋体" w:eastAsia="宋体" w:cs="Times New Roman"/>
                <w:sz w:val="16"/>
                <w:szCs w:val="16"/>
                <w:lang w:val="en-US" w:eastAsia="zh-CN"/>
              </w:rPr>
            </w:pPr>
          </w:p>
        </w:tc>
        <w:tc>
          <w:tcPr>
            <w:tcW w:w="903" w:type="pct"/>
            <w:noWrap w:val="0"/>
            <w:vAlign w:val="center"/>
          </w:tcPr>
          <w:p>
            <w:pPr>
              <w:jc w:val="right"/>
              <w:rPr>
                <w:rFonts w:hint="eastAsia" w:ascii="宋体" w:hAnsi="宋体" w:eastAsia="宋体" w:cs="Times New Roman"/>
                <w:sz w:val="16"/>
                <w:szCs w:val="16"/>
                <w:lang w:val="en-US" w:eastAsia="zh-CN"/>
              </w:rPr>
            </w:pPr>
          </w:p>
        </w:tc>
        <w:tc>
          <w:tcPr>
            <w:tcW w:w="970" w:type="pct"/>
            <w:noWrap w:val="0"/>
            <w:vAlign w:val="center"/>
          </w:tcPr>
          <w:p>
            <w:pPr>
              <w:jc w:val="right"/>
              <w:rPr>
                <w:rFonts w:hint="eastAsia" w:ascii="宋体" w:hAnsi="宋体" w:eastAsia="宋体" w:cs="Times New Roman"/>
                <w:sz w:val="16"/>
                <w:szCs w:val="16"/>
                <w:lang w:val="en-US" w:eastAsia="zh-CN"/>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信息化设备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7,706.67</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9,431,273.16</w:t>
            </w:r>
          </w:p>
        </w:tc>
        <w:tc>
          <w:tcPr>
            <w:tcW w:w="903" w:type="pct"/>
            <w:noWrap w:val="0"/>
            <w:vAlign w:val="center"/>
          </w:tcPr>
          <w:p>
            <w:pPr>
              <w:jc w:val="right"/>
              <w:rPr>
                <w:rFonts w:hint="eastAsia" w:ascii="宋体" w:hAnsi="宋体" w:eastAsia="宋体" w:cs="Times New Roman"/>
                <w:sz w:val="16"/>
                <w:szCs w:val="16"/>
                <w:lang w:val="en-US" w:eastAsia="zh-CN"/>
              </w:rPr>
            </w:pP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9,438,979.83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运输工具</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2,700,000.00</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304,143.63</w:t>
            </w:r>
          </w:p>
        </w:tc>
        <w:tc>
          <w:tcPr>
            <w:tcW w:w="903" w:type="pct"/>
            <w:noWrap w:val="0"/>
            <w:vAlign w:val="center"/>
          </w:tcPr>
          <w:p>
            <w:pPr>
              <w:jc w:val="right"/>
              <w:rPr>
                <w:rFonts w:hint="eastAsia" w:ascii="宋体" w:hAnsi="宋体" w:eastAsia="宋体" w:cs="Times New Roman"/>
                <w:sz w:val="16"/>
                <w:szCs w:val="16"/>
                <w:lang w:val="en-US" w:eastAsia="zh-CN"/>
              </w:rPr>
            </w:pP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3,004,143.63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辅助机器设备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26,751,339.27</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23,211,871.71</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290,956.65</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49,672,254.33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办公设备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8,947.14</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29,401.47</w:t>
            </w:r>
          </w:p>
        </w:tc>
        <w:tc>
          <w:tcPr>
            <w:tcW w:w="903" w:type="pct"/>
            <w:noWrap w:val="0"/>
            <w:vAlign w:val="center"/>
          </w:tcPr>
          <w:p>
            <w:pPr>
              <w:jc w:val="right"/>
              <w:rPr>
                <w:rFonts w:hint="default" w:ascii="宋体" w:hAnsi="宋体" w:eastAsia="宋体" w:cs="Times New Roman"/>
                <w:sz w:val="16"/>
                <w:szCs w:val="16"/>
                <w:lang w:val="en-US" w:eastAsia="zh-CN"/>
              </w:rPr>
            </w:pPr>
            <w:r>
              <w:rPr>
                <w:rFonts w:hint="eastAsia" w:ascii="宋体" w:hAnsi="宋体" w:eastAsia="宋体" w:cs="Times New Roman"/>
                <w:sz w:val="16"/>
                <w:szCs w:val="16"/>
                <w:lang w:val="en-US" w:eastAsia="zh-CN"/>
              </w:rPr>
              <w:t>10.4</w:t>
            </w:r>
            <w:r>
              <w:rPr>
                <w:rFonts w:hint="eastAsia" w:ascii="宋体" w:hAnsi="宋体" w:cs="Times New Roman"/>
                <w:sz w:val="16"/>
                <w:szCs w:val="16"/>
                <w:lang w:val="en-US" w:eastAsia="zh-CN"/>
              </w:rPr>
              <w:t>0</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38,338.21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其他</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752,608.00</w:t>
            </w:r>
          </w:p>
        </w:tc>
        <w:tc>
          <w:tcPr>
            <w:tcW w:w="903" w:type="pct"/>
            <w:noWrap w:val="0"/>
            <w:vAlign w:val="center"/>
          </w:tcPr>
          <w:p>
            <w:pPr>
              <w:jc w:val="right"/>
              <w:rPr>
                <w:rFonts w:hint="eastAsia" w:ascii="宋体" w:hAnsi="宋体" w:eastAsia="宋体" w:cs="Times New Roman"/>
                <w:sz w:val="16"/>
                <w:szCs w:val="16"/>
                <w:lang w:val="en-US" w:eastAsia="zh-CN"/>
              </w:rPr>
            </w:pPr>
          </w:p>
        </w:tc>
        <w:tc>
          <w:tcPr>
            <w:tcW w:w="903" w:type="pct"/>
            <w:noWrap w:val="0"/>
            <w:vAlign w:val="center"/>
          </w:tcPr>
          <w:p>
            <w:pPr>
              <w:jc w:val="right"/>
              <w:rPr>
                <w:rFonts w:hint="eastAsia" w:ascii="宋体" w:hAnsi="宋体" w:eastAsia="宋体" w:cs="Times New Roman"/>
                <w:sz w:val="16"/>
                <w:szCs w:val="16"/>
                <w:lang w:val="en-US" w:eastAsia="zh-CN"/>
              </w:rPr>
            </w:pP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752,608.00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rPr>
                <w:rFonts w:hint="eastAsia" w:ascii="宋体" w:hAnsi="宋体" w:eastAsia="仿宋_GB2312" w:cs="Times New Roman"/>
                <w:sz w:val="20"/>
                <w:szCs w:val="20"/>
                <w:lang w:val="en-US" w:eastAsia="zh-CN"/>
              </w:rPr>
            </w:pPr>
            <w:r>
              <w:rPr>
                <w:rFonts w:hint="eastAsia" w:ascii="宋体" w:hAnsi="宋体" w:eastAsia="仿宋_GB2312" w:cs="Times New Roman"/>
                <w:b/>
                <w:bCs/>
                <w:sz w:val="20"/>
                <w:szCs w:val="20"/>
                <w:lang w:val="en-US" w:eastAsia="zh-CN"/>
              </w:rPr>
              <w:t>五、固定资产账面价值</w:t>
            </w:r>
          </w:p>
        </w:tc>
        <w:tc>
          <w:tcPr>
            <w:tcW w:w="995"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80,586,454,751.83</w:t>
            </w:r>
          </w:p>
        </w:tc>
        <w:tc>
          <w:tcPr>
            <w:tcW w:w="903"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w:t>
            </w:r>
          </w:p>
        </w:tc>
        <w:tc>
          <w:tcPr>
            <w:tcW w:w="903"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w:t>
            </w:r>
          </w:p>
        </w:tc>
        <w:tc>
          <w:tcPr>
            <w:tcW w:w="970" w:type="pct"/>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90,449,692,141.11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土地资产</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124,222,756.86</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124,222,756.86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房屋及建筑物</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10,979,397,793.04</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12,321,813,265.52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港务设施</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40,561,610,402.08</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44,139,939,637.03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库场设施</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15,747,363,083.80</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19,411,868,835.33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装卸机器设备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5,904,986,833.39</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7,222,393,909.23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船舶</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3,255,747,467.47</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3,255,269,699.74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集装箱</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107,168,458.49</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190,682,611.49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信息化设备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682,983,873.57</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699,713,226.17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运输工具</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345,731,202.34</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389,571,642.47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辅助机器设备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2,446,998,332.50</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2,395,676,554.76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办公设备</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335,190,613.31</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228,026,107.63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27"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其他</w:t>
            </w:r>
          </w:p>
        </w:tc>
        <w:tc>
          <w:tcPr>
            <w:tcW w:w="995"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95,053,934.98</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03"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w:t>
            </w:r>
          </w:p>
        </w:tc>
        <w:tc>
          <w:tcPr>
            <w:tcW w:w="970" w:type="pct"/>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70,513,894.88</w:t>
            </w:r>
          </w:p>
        </w:tc>
      </w:tr>
    </w:tbl>
    <w:p>
      <w:pPr>
        <w:numPr>
          <w:ilvl w:val="0"/>
          <w:numId w:val="0"/>
        </w:numPr>
        <w:adjustRightInd w:val="0"/>
        <w:spacing w:before="120" w:beforeLines="50" w:after="120" w:afterLines="50" w:line="360" w:lineRule="exact"/>
        <w:ind w:firstLine="640" w:firstLineChars="200"/>
        <w:jc w:val="both"/>
        <w:outlineLvl w:val="1"/>
        <w:rPr>
          <w:rFonts w:hint="eastAsia" w:ascii="宋体" w:hAnsi="宋体" w:eastAsia="仿宋_GB2312" w:cs="仿宋_GB2312"/>
          <w:b w:val="0"/>
          <w:bCs w:val="0"/>
          <w:sz w:val="32"/>
          <w:szCs w:val="32"/>
          <w:lang w:val="en-US" w:eastAsia="zh-CN"/>
        </w:rPr>
      </w:pPr>
    </w:p>
    <w:tbl>
      <w:tblPr>
        <w:tblStyle w:val="11"/>
        <w:tblpPr w:leftFromText="180" w:rightFromText="180" w:vertAnchor="text" w:horzAnchor="page" w:tblpXSpec="center" w:tblpY="1029"/>
        <w:tblOverlap w:val="never"/>
        <w:tblW w:w="5755" w:type="pct"/>
        <w:jc w:val="center"/>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0" w:type="dxa"/>
          <w:bottom w:w="0" w:type="dxa"/>
          <w:right w:w="108" w:type="dxa"/>
        </w:tblCellMar>
      </w:tblPr>
      <w:tblGrid>
        <w:gridCol w:w="1920"/>
        <w:gridCol w:w="1500"/>
        <w:gridCol w:w="1201"/>
        <w:gridCol w:w="1470"/>
        <w:gridCol w:w="1470"/>
        <w:gridCol w:w="1229"/>
        <w:gridCol w:w="1515"/>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tblHeader/>
          <w:jc w:val="center"/>
        </w:trPr>
        <w:tc>
          <w:tcPr>
            <w:tcW w:w="1920" w:type="dxa"/>
            <w:vMerge w:val="restart"/>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项目</w:t>
            </w:r>
          </w:p>
        </w:tc>
        <w:tc>
          <w:tcPr>
            <w:tcW w:w="4171" w:type="dxa"/>
            <w:gridSpan w:val="3"/>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年末余额</w:t>
            </w:r>
          </w:p>
        </w:tc>
        <w:tc>
          <w:tcPr>
            <w:tcW w:w="4214" w:type="dxa"/>
            <w:gridSpan w:val="3"/>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年初余额</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tblHeader/>
          <w:jc w:val="center"/>
        </w:trPr>
        <w:tc>
          <w:tcPr>
            <w:tcW w:w="1920" w:type="dxa"/>
            <w:vMerge w:val="continue"/>
            <w:noWrap w:val="0"/>
            <w:vAlign w:val="center"/>
          </w:tcPr>
          <w:p>
            <w:pPr>
              <w:jc w:val="center"/>
              <w:rPr>
                <w:rFonts w:hint="eastAsia" w:ascii="宋体" w:hAnsi="宋体" w:eastAsia="仿宋_GB2312" w:cs="Times New Roman"/>
                <w:b/>
                <w:bCs/>
                <w:sz w:val="20"/>
                <w:szCs w:val="20"/>
              </w:rPr>
            </w:pPr>
          </w:p>
        </w:tc>
        <w:tc>
          <w:tcPr>
            <w:tcW w:w="1500" w:type="dxa"/>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账面余额</w:t>
            </w:r>
          </w:p>
        </w:tc>
        <w:tc>
          <w:tcPr>
            <w:tcW w:w="1201" w:type="dxa"/>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减值准备</w:t>
            </w:r>
          </w:p>
        </w:tc>
        <w:tc>
          <w:tcPr>
            <w:tcW w:w="1470" w:type="dxa"/>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账面价值</w:t>
            </w:r>
          </w:p>
        </w:tc>
        <w:tc>
          <w:tcPr>
            <w:tcW w:w="1470" w:type="dxa"/>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账面余额</w:t>
            </w:r>
          </w:p>
        </w:tc>
        <w:tc>
          <w:tcPr>
            <w:tcW w:w="1229" w:type="dxa"/>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减值准备</w:t>
            </w:r>
          </w:p>
        </w:tc>
        <w:tc>
          <w:tcPr>
            <w:tcW w:w="1515" w:type="dxa"/>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账面价值</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基建工程支出</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17,416,939,328.93</w:t>
            </w:r>
          </w:p>
        </w:tc>
        <w:tc>
          <w:tcPr>
            <w:tcW w:w="1201"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54,191,936.88</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17,362,747,392.05</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18,338,786,035.54</w:t>
            </w:r>
          </w:p>
        </w:tc>
        <w:tc>
          <w:tcPr>
            <w:tcW w:w="1229"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24,976,176.14</w:t>
            </w:r>
          </w:p>
        </w:tc>
        <w:tc>
          <w:tcPr>
            <w:tcW w:w="1515"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18,313,809,859.40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其中：公用设施建设</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2,052,507,938.37</w:t>
            </w:r>
          </w:p>
        </w:tc>
        <w:tc>
          <w:tcPr>
            <w:tcW w:w="1201"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7,549,426.36</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2,044,958,512.01</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2,757,706,615.15</w:t>
            </w:r>
          </w:p>
        </w:tc>
        <w:tc>
          <w:tcPr>
            <w:tcW w:w="1229" w:type="dxa"/>
            <w:noWrap w:val="0"/>
            <w:vAlign w:val="center"/>
          </w:tcPr>
          <w:p>
            <w:pPr>
              <w:jc w:val="right"/>
              <w:rPr>
                <w:rFonts w:hint="eastAsia" w:ascii="宋体" w:hAnsi="宋体" w:eastAsia="宋体" w:cs="Times New Roman"/>
                <w:sz w:val="16"/>
                <w:szCs w:val="16"/>
                <w:lang w:val="en-US" w:eastAsia="zh-CN"/>
              </w:rPr>
            </w:pPr>
          </w:p>
        </w:tc>
        <w:tc>
          <w:tcPr>
            <w:tcW w:w="1515"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2,757,706,615.15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ind w:firstLine="480" w:firstLineChars="300"/>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码头堆场建设</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10,008,621,063.95</w:t>
            </w:r>
          </w:p>
        </w:tc>
        <w:tc>
          <w:tcPr>
            <w:tcW w:w="1201"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45,262,247.33</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9,963,358,816.62</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10,112,765,933.60</w:t>
            </w:r>
          </w:p>
        </w:tc>
        <w:tc>
          <w:tcPr>
            <w:tcW w:w="1229"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23,595,912.95</w:t>
            </w:r>
          </w:p>
        </w:tc>
        <w:tc>
          <w:tcPr>
            <w:tcW w:w="1515"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10,089,170,020.65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ind w:firstLine="480" w:firstLineChars="300"/>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仓储设施建设</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710,969,312.90</w:t>
            </w:r>
          </w:p>
        </w:tc>
        <w:tc>
          <w:tcPr>
            <w:tcW w:w="1201" w:type="dxa"/>
            <w:noWrap w:val="0"/>
            <w:vAlign w:val="center"/>
          </w:tcPr>
          <w:p>
            <w:pPr>
              <w:jc w:val="right"/>
              <w:rPr>
                <w:rFonts w:hint="eastAsia" w:ascii="宋体" w:hAnsi="宋体" w:eastAsia="宋体" w:cs="Times New Roman"/>
                <w:sz w:val="16"/>
                <w:szCs w:val="16"/>
                <w:lang w:val="en-US" w:eastAsia="zh-CN"/>
              </w:rPr>
            </w:pP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710,969,312.90</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1,998,050,763.28</w:t>
            </w:r>
          </w:p>
        </w:tc>
        <w:tc>
          <w:tcPr>
            <w:tcW w:w="1229" w:type="dxa"/>
            <w:noWrap w:val="0"/>
            <w:vAlign w:val="center"/>
          </w:tcPr>
          <w:p>
            <w:pPr>
              <w:jc w:val="right"/>
              <w:rPr>
                <w:rFonts w:hint="eastAsia" w:ascii="宋体" w:hAnsi="宋体" w:eastAsia="宋体" w:cs="Times New Roman"/>
                <w:sz w:val="16"/>
                <w:szCs w:val="16"/>
                <w:lang w:val="en-US" w:eastAsia="zh-CN"/>
              </w:rPr>
            </w:pPr>
          </w:p>
        </w:tc>
        <w:tc>
          <w:tcPr>
            <w:tcW w:w="1515"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1,998,050,763.28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ind w:firstLine="480" w:firstLineChars="300"/>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集疏运体系</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1,979,550,214.89</w:t>
            </w:r>
          </w:p>
        </w:tc>
        <w:tc>
          <w:tcPr>
            <w:tcW w:w="1201" w:type="dxa"/>
            <w:noWrap w:val="0"/>
            <w:vAlign w:val="center"/>
          </w:tcPr>
          <w:p>
            <w:pPr>
              <w:jc w:val="right"/>
              <w:rPr>
                <w:rFonts w:hint="eastAsia" w:ascii="宋体" w:hAnsi="宋体" w:eastAsia="宋体" w:cs="Times New Roman"/>
                <w:sz w:val="16"/>
                <w:szCs w:val="16"/>
                <w:lang w:val="en-US" w:eastAsia="zh-CN"/>
              </w:rPr>
            </w:pP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1,979,550,214.89</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1,004,914,092.18</w:t>
            </w:r>
          </w:p>
        </w:tc>
        <w:tc>
          <w:tcPr>
            <w:tcW w:w="1229" w:type="dxa"/>
            <w:noWrap w:val="0"/>
            <w:vAlign w:val="center"/>
          </w:tcPr>
          <w:p>
            <w:pPr>
              <w:jc w:val="right"/>
              <w:rPr>
                <w:rFonts w:hint="eastAsia" w:ascii="宋体" w:hAnsi="宋体" w:eastAsia="宋体" w:cs="Times New Roman"/>
                <w:sz w:val="16"/>
                <w:szCs w:val="16"/>
                <w:lang w:val="en-US" w:eastAsia="zh-CN"/>
              </w:rPr>
            </w:pPr>
          </w:p>
        </w:tc>
        <w:tc>
          <w:tcPr>
            <w:tcW w:w="1515"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1,004,914,092.18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ind w:firstLine="480" w:firstLineChars="300"/>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生产配套建设</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1,421,565,934.77</w:t>
            </w:r>
          </w:p>
        </w:tc>
        <w:tc>
          <w:tcPr>
            <w:tcW w:w="1201"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1,047,980.00</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1,420,517,954.77</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1,162,689,250.45</w:t>
            </w:r>
          </w:p>
        </w:tc>
        <w:tc>
          <w:tcPr>
            <w:tcW w:w="1229" w:type="dxa"/>
            <w:noWrap w:val="0"/>
            <w:vAlign w:val="center"/>
          </w:tcPr>
          <w:p>
            <w:pPr>
              <w:jc w:val="right"/>
              <w:rPr>
                <w:rFonts w:hint="eastAsia" w:ascii="宋体" w:hAnsi="宋体" w:eastAsia="宋体" w:cs="Times New Roman"/>
                <w:sz w:val="16"/>
                <w:szCs w:val="16"/>
                <w:lang w:val="en-US" w:eastAsia="zh-CN"/>
              </w:rPr>
            </w:pPr>
          </w:p>
        </w:tc>
        <w:tc>
          <w:tcPr>
            <w:tcW w:w="1515"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1,162,689,250.45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ind w:firstLine="480" w:firstLineChars="300"/>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保障配套建设</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245,624,415.23</w:t>
            </w:r>
          </w:p>
        </w:tc>
        <w:tc>
          <w:tcPr>
            <w:tcW w:w="1201" w:type="dxa"/>
            <w:noWrap w:val="0"/>
            <w:vAlign w:val="center"/>
          </w:tcPr>
          <w:p>
            <w:pPr>
              <w:jc w:val="right"/>
              <w:rPr>
                <w:rFonts w:hint="eastAsia" w:ascii="宋体" w:hAnsi="宋体" w:eastAsia="宋体" w:cs="Times New Roman"/>
                <w:sz w:val="16"/>
                <w:szCs w:val="16"/>
                <w:lang w:val="en-US" w:eastAsia="zh-CN"/>
              </w:rPr>
            </w:pP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245,624,415.23</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296,451,668.03</w:t>
            </w:r>
          </w:p>
        </w:tc>
        <w:tc>
          <w:tcPr>
            <w:tcW w:w="1229" w:type="dxa"/>
            <w:noWrap w:val="0"/>
            <w:vAlign w:val="center"/>
          </w:tcPr>
          <w:p>
            <w:pPr>
              <w:jc w:val="right"/>
              <w:rPr>
                <w:rFonts w:hint="eastAsia" w:ascii="宋体" w:hAnsi="宋体" w:eastAsia="宋体" w:cs="Times New Roman"/>
                <w:sz w:val="16"/>
                <w:szCs w:val="16"/>
                <w:lang w:val="en-US" w:eastAsia="zh-CN"/>
              </w:rPr>
            </w:pPr>
          </w:p>
        </w:tc>
        <w:tc>
          <w:tcPr>
            <w:tcW w:w="1515"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296,451,668.03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ind w:firstLine="480" w:firstLineChars="300"/>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设备安装及改造</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31,668,830.75</w:t>
            </w:r>
          </w:p>
        </w:tc>
        <w:tc>
          <w:tcPr>
            <w:tcW w:w="1201" w:type="dxa"/>
            <w:noWrap w:val="0"/>
            <w:vAlign w:val="center"/>
          </w:tcPr>
          <w:p>
            <w:pPr>
              <w:jc w:val="right"/>
              <w:rPr>
                <w:rFonts w:hint="eastAsia" w:ascii="宋体" w:hAnsi="宋体" w:eastAsia="宋体" w:cs="Times New Roman"/>
                <w:sz w:val="16"/>
                <w:szCs w:val="16"/>
                <w:lang w:val="en-US" w:eastAsia="zh-CN"/>
              </w:rPr>
            </w:pP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31,668,830.75</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102,431,036.11</w:t>
            </w:r>
          </w:p>
        </w:tc>
        <w:tc>
          <w:tcPr>
            <w:tcW w:w="1229" w:type="dxa"/>
            <w:noWrap w:val="0"/>
            <w:vAlign w:val="center"/>
          </w:tcPr>
          <w:p>
            <w:pPr>
              <w:jc w:val="right"/>
              <w:rPr>
                <w:rFonts w:hint="eastAsia" w:ascii="宋体" w:hAnsi="宋体" w:eastAsia="宋体" w:cs="Times New Roman"/>
                <w:sz w:val="16"/>
                <w:szCs w:val="16"/>
                <w:lang w:val="en-US" w:eastAsia="zh-CN"/>
              </w:rPr>
            </w:pPr>
          </w:p>
        </w:tc>
        <w:tc>
          <w:tcPr>
            <w:tcW w:w="1515"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102,431,036.11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ind w:firstLine="480" w:firstLineChars="300"/>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其他</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966,431,618.07</w:t>
            </w:r>
          </w:p>
        </w:tc>
        <w:tc>
          <w:tcPr>
            <w:tcW w:w="1201"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332,283.19</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966,099,334.88</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903,776,676.74</w:t>
            </w:r>
          </w:p>
        </w:tc>
        <w:tc>
          <w:tcPr>
            <w:tcW w:w="1229"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1,380,263.19</w:t>
            </w:r>
          </w:p>
        </w:tc>
        <w:tc>
          <w:tcPr>
            <w:tcW w:w="1515"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902,396,413.55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ind w:firstLine="480" w:firstLineChars="300"/>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更新改造工程支出</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123,229,434.22</w:t>
            </w:r>
          </w:p>
        </w:tc>
        <w:tc>
          <w:tcPr>
            <w:tcW w:w="1201" w:type="dxa"/>
            <w:noWrap w:val="0"/>
            <w:vAlign w:val="center"/>
          </w:tcPr>
          <w:p>
            <w:pPr>
              <w:jc w:val="right"/>
              <w:rPr>
                <w:rFonts w:hint="eastAsia" w:ascii="宋体" w:hAnsi="宋体" w:eastAsia="宋体" w:cs="Times New Roman"/>
                <w:sz w:val="16"/>
                <w:szCs w:val="16"/>
                <w:lang w:val="en-US" w:eastAsia="zh-CN"/>
              </w:rPr>
            </w:pP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123,229,434.22</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125,966,457.03</w:t>
            </w:r>
          </w:p>
        </w:tc>
        <w:tc>
          <w:tcPr>
            <w:tcW w:w="1229" w:type="dxa"/>
            <w:noWrap w:val="0"/>
            <w:vAlign w:val="center"/>
          </w:tcPr>
          <w:p>
            <w:pPr>
              <w:jc w:val="right"/>
              <w:rPr>
                <w:rFonts w:hint="eastAsia" w:ascii="宋体" w:hAnsi="宋体" w:eastAsia="宋体" w:cs="Times New Roman"/>
                <w:sz w:val="16"/>
                <w:szCs w:val="16"/>
                <w:lang w:val="en-US" w:eastAsia="zh-CN"/>
              </w:rPr>
            </w:pPr>
          </w:p>
        </w:tc>
        <w:tc>
          <w:tcPr>
            <w:tcW w:w="1515"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125,966,457.03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ind w:firstLine="480" w:firstLineChars="300"/>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在安装设备支出</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849,882,143.43</w:t>
            </w:r>
          </w:p>
        </w:tc>
        <w:tc>
          <w:tcPr>
            <w:tcW w:w="1201" w:type="dxa"/>
            <w:noWrap w:val="0"/>
            <w:vAlign w:val="center"/>
          </w:tcPr>
          <w:p>
            <w:pPr>
              <w:jc w:val="right"/>
              <w:rPr>
                <w:rFonts w:hint="eastAsia" w:ascii="宋体" w:hAnsi="宋体" w:eastAsia="宋体" w:cs="Times New Roman"/>
                <w:sz w:val="16"/>
                <w:szCs w:val="16"/>
                <w:lang w:val="en-US" w:eastAsia="zh-CN"/>
              </w:rPr>
            </w:pP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849,882,143.43</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1,062,475,720.78</w:t>
            </w:r>
          </w:p>
        </w:tc>
        <w:tc>
          <w:tcPr>
            <w:tcW w:w="1229" w:type="dxa"/>
            <w:noWrap w:val="0"/>
            <w:vAlign w:val="center"/>
          </w:tcPr>
          <w:p>
            <w:pPr>
              <w:jc w:val="right"/>
              <w:rPr>
                <w:rFonts w:hint="eastAsia" w:ascii="宋体" w:hAnsi="宋体" w:eastAsia="宋体" w:cs="Times New Roman"/>
                <w:sz w:val="16"/>
                <w:szCs w:val="16"/>
                <w:lang w:val="en-US" w:eastAsia="zh-CN"/>
              </w:rPr>
            </w:pPr>
          </w:p>
        </w:tc>
        <w:tc>
          <w:tcPr>
            <w:tcW w:w="1515"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1,062,475,720.78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ind w:firstLine="480" w:firstLineChars="300"/>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待摊投资</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366,344,019.29</w:t>
            </w:r>
          </w:p>
        </w:tc>
        <w:tc>
          <w:tcPr>
            <w:tcW w:w="1201" w:type="dxa"/>
            <w:noWrap w:val="0"/>
            <w:vAlign w:val="center"/>
          </w:tcPr>
          <w:p>
            <w:pPr>
              <w:jc w:val="right"/>
              <w:rPr>
                <w:rFonts w:hint="eastAsia" w:ascii="宋体" w:hAnsi="宋体" w:eastAsia="宋体" w:cs="Times New Roman"/>
                <w:sz w:val="16"/>
                <w:szCs w:val="16"/>
                <w:lang w:val="en-US" w:eastAsia="zh-CN"/>
              </w:rPr>
            </w:pP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366,344,019.29</w:t>
            </w: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2,774,558,051.36</w:t>
            </w:r>
          </w:p>
        </w:tc>
        <w:tc>
          <w:tcPr>
            <w:tcW w:w="1229"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12,708,042.70</w:t>
            </w:r>
          </w:p>
        </w:tc>
        <w:tc>
          <w:tcPr>
            <w:tcW w:w="1515"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2,761,850,008.66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ind w:firstLine="480" w:firstLineChars="300"/>
              <w:jc w:val="left"/>
              <w:rPr>
                <w:rFonts w:hint="eastAsia" w:ascii="宋体" w:hAnsi="宋体" w:eastAsia="仿宋_GB2312" w:cs="Times New Roman"/>
                <w:b w:val="0"/>
                <w:bCs w:val="0"/>
                <w:sz w:val="16"/>
                <w:szCs w:val="16"/>
              </w:rPr>
            </w:pPr>
            <w:r>
              <w:rPr>
                <w:rFonts w:hint="eastAsia" w:ascii="宋体" w:hAnsi="宋体" w:eastAsia="仿宋_GB2312" w:cs="Times New Roman"/>
                <w:b w:val="0"/>
                <w:bCs w:val="0"/>
                <w:sz w:val="16"/>
                <w:szCs w:val="16"/>
                <w:lang w:val="en-US" w:eastAsia="zh-CN"/>
              </w:rPr>
              <w:t>工程物资</w:t>
            </w:r>
          </w:p>
        </w:tc>
        <w:tc>
          <w:tcPr>
            <w:tcW w:w="150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1,990,634.00</w:t>
            </w:r>
          </w:p>
        </w:tc>
        <w:tc>
          <w:tcPr>
            <w:tcW w:w="1201" w:type="dxa"/>
            <w:noWrap w:val="0"/>
            <w:vAlign w:val="center"/>
          </w:tcPr>
          <w:p>
            <w:pPr>
              <w:jc w:val="right"/>
              <w:rPr>
                <w:rFonts w:hint="eastAsia" w:ascii="宋体" w:hAnsi="宋体" w:eastAsia="宋体" w:cs="Times New Roman"/>
                <w:sz w:val="16"/>
                <w:szCs w:val="16"/>
                <w:lang w:val="en-US" w:eastAsia="zh-CN"/>
              </w:rPr>
            </w:pPr>
          </w:p>
        </w:tc>
        <w:tc>
          <w:tcPr>
            <w:tcW w:w="1470" w:type="dxa"/>
            <w:noWrap w:val="0"/>
            <w:vAlign w:val="center"/>
          </w:tcPr>
          <w:p>
            <w:pPr>
              <w:jc w:val="right"/>
              <w:rPr>
                <w:rFonts w:hint="eastAsia" w:ascii="宋体" w:hAnsi="宋体" w:eastAsia="宋体" w:cs="Times New Roman"/>
                <w:sz w:val="16"/>
                <w:szCs w:val="16"/>
                <w:lang w:val="en-US" w:eastAsia="zh-CN"/>
              </w:rPr>
            </w:pPr>
            <w:r>
              <w:rPr>
                <w:rFonts w:hint="eastAsia" w:ascii="宋体" w:hAnsi="宋体" w:eastAsia="宋体" w:cs="Times New Roman"/>
                <w:sz w:val="16"/>
                <w:szCs w:val="16"/>
                <w:lang w:val="en-US" w:eastAsia="zh-CN"/>
              </w:rPr>
              <w:t>1,990,634.00</w:t>
            </w:r>
          </w:p>
        </w:tc>
        <w:tc>
          <w:tcPr>
            <w:tcW w:w="1470" w:type="dxa"/>
            <w:noWrap w:val="0"/>
            <w:vAlign w:val="center"/>
          </w:tcPr>
          <w:p>
            <w:pPr>
              <w:jc w:val="right"/>
              <w:rPr>
                <w:rFonts w:hint="eastAsia" w:ascii="宋体" w:hAnsi="宋体" w:eastAsia="宋体" w:cs="Times New Roman"/>
                <w:sz w:val="16"/>
                <w:szCs w:val="16"/>
                <w:lang w:val="en-US" w:eastAsia="zh-CN"/>
              </w:rPr>
            </w:pPr>
          </w:p>
        </w:tc>
        <w:tc>
          <w:tcPr>
            <w:tcW w:w="1229" w:type="dxa"/>
            <w:noWrap w:val="0"/>
            <w:vAlign w:val="center"/>
          </w:tcPr>
          <w:p>
            <w:pPr>
              <w:jc w:val="right"/>
              <w:rPr>
                <w:rFonts w:hint="eastAsia" w:ascii="宋体" w:hAnsi="宋体" w:eastAsia="宋体" w:cs="Times New Roman"/>
                <w:sz w:val="16"/>
                <w:szCs w:val="16"/>
                <w:lang w:val="en-US" w:eastAsia="zh-CN"/>
              </w:rPr>
            </w:pPr>
          </w:p>
        </w:tc>
        <w:tc>
          <w:tcPr>
            <w:tcW w:w="1515" w:type="dxa"/>
            <w:noWrap w:val="0"/>
            <w:vAlign w:val="center"/>
          </w:tcPr>
          <w:p>
            <w:pPr>
              <w:jc w:val="right"/>
              <w:rPr>
                <w:rFonts w:hint="eastAsia" w:ascii="宋体" w:hAnsi="宋体" w:eastAsia="宋体" w:cs="Times New Roman"/>
                <w:sz w:val="16"/>
                <w:szCs w:val="16"/>
                <w:lang w:val="en-US" w:eastAsia="zh-CN"/>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108" w:type="dxa"/>
          </w:tblCellMar>
        </w:tblPrEx>
        <w:trPr>
          <w:trHeight w:val="386" w:hRule="atLeast"/>
          <w:jc w:val="center"/>
        </w:trPr>
        <w:tc>
          <w:tcPr>
            <w:tcW w:w="1920" w:type="dxa"/>
            <w:noWrap w:val="0"/>
            <w:vAlign w:val="center"/>
          </w:tcPr>
          <w:p>
            <w:pPr>
              <w:ind w:firstLine="482" w:firstLineChars="300"/>
              <w:rPr>
                <w:rFonts w:hint="eastAsia" w:ascii="宋体" w:hAnsi="宋体" w:eastAsia="仿宋_GB2312" w:cs="Times New Roman"/>
                <w:b/>
                <w:bCs/>
                <w:sz w:val="16"/>
                <w:szCs w:val="16"/>
              </w:rPr>
            </w:pPr>
            <w:r>
              <w:rPr>
                <w:rFonts w:hint="eastAsia" w:ascii="宋体" w:hAnsi="宋体" w:eastAsia="仿宋_GB2312" w:cs="Times New Roman"/>
                <w:b/>
                <w:bCs/>
                <w:sz w:val="16"/>
                <w:szCs w:val="16"/>
              </w:rPr>
              <w:t>合</w:t>
            </w:r>
            <w:r>
              <w:rPr>
                <w:rFonts w:hint="eastAsia" w:ascii="宋体" w:hAnsi="宋体" w:eastAsia="仿宋_GB2312" w:cs="Times New Roman"/>
                <w:b/>
                <w:bCs/>
                <w:sz w:val="16"/>
                <w:szCs w:val="16"/>
                <w:lang w:val="en-US" w:eastAsia="zh-CN"/>
              </w:rPr>
              <w:t xml:space="preserve"> </w:t>
            </w:r>
            <w:r>
              <w:rPr>
                <w:rFonts w:hint="eastAsia" w:ascii="宋体" w:hAnsi="宋体" w:eastAsia="仿宋_GB2312" w:cs="Times New Roman"/>
                <w:b/>
                <w:bCs/>
                <w:sz w:val="16"/>
                <w:szCs w:val="16"/>
              </w:rPr>
              <w:t>计</w:t>
            </w:r>
          </w:p>
        </w:tc>
        <w:tc>
          <w:tcPr>
            <w:tcW w:w="1500" w:type="dxa"/>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18,758,385,559.87</w:t>
            </w:r>
          </w:p>
        </w:tc>
        <w:tc>
          <w:tcPr>
            <w:tcW w:w="1201" w:type="dxa"/>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54,191,936.88</w:t>
            </w:r>
          </w:p>
        </w:tc>
        <w:tc>
          <w:tcPr>
            <w:tcW w:w="1470" w:type="dxa"/>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pacing w:val="-6"/>
                <w:sz w:val="16"/>
                <w:szCs w:val="16"/>
                <w:lang w:val="en-US" w:eastAsia="zh-CN"/>
              </w:rPr>
              <w:t>18,704,193,622.99</w:t>
            </w:r>
          </w:p>
        </w:tc>
        <w:tc>
          <w:tcPr>
            <w:tcW w:w="1470" w:type="dxa"/>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pacing w:val="-6"/>
                <w:sz w:val="16"/>
                <w:szCs w:val="16"/>
                <w:lang w:val="en-US" w:eastAsia="zh-CN"/>
              </w:rPr>
              <w:t>22,301,786,264.71</w:t>
            </w:r>
          </w:p>
        </w:tc>
        <w:tc>
          <w:tcPr>
            <w:tcW w:w="1229" w:type="dxa"/>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37,684,218.84</w:t>
            </w:r>
          </w:p>
        </w:tc>
        <w:tc>
          <w:tcPr>
            <w:tcW w:w="1515" w:type="dxa"/>
            <w:noWrap w:val="0"/>
            <w:vAlign w:val="center"/>
          </w:tcPr>
          <w:p>
            <w:pPr>
              <w:jc w:val="right"/>
              <w:rPr>
                <w:rFonts w:hint="eastAsia"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22,264,102,045.87</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宋体" w:hAnsi="宋体" w:eastAsia="仿宋_GB2312" w:cs="仿宋_GB2312"/>
          <w:b w:val="0"/>
          <w:bCs w:val="0"/>
          <w:sz w:val="32"/>
          <w:szCs w:val="32"/>
          <w:lang w:val="en-US" w:eastAsia="zh-CN"/>
        </w:rPr>
        <w:sectPr>
          <w:pgSz w:w="11906" w:h="16838"/>
          <w:pgMar w:top="2098" w:right="1474" w:bottom="1984" w:left="1587" w:header="851" w:footer="992" w:gutter="0"/>
          <w:pgNumType w:fmt="decimal"/>
          <w:cols w:space="720" w:num="1"/>
          <w:docGrid w:type="lines" w:linePitch="312" w:charSpace="0"/>
        </w:sectPr>
      </w:pPr>
      <w:r>
        <w:rPr>
          <w:rFonts w:hint="eastAsia" w:ascii="宋体" w:hAnsi="宋体" w:eastAsia="仿宋_GB2312" w:cs="仿宋_GB2312"/>
          <w:b w:val="0"/>
          <w:bCs w:val="0"/>
          <w:sz w:val="32"/>
          <w:szCs w:val="32"/>
          <w:highlight w:val="none"/>
          <w:lang w:val="en-US" w:eastAsia="zh-CN"/>
        </w:rPr>
        <w:t>（4）在建工程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（5）无形资产</w:t>
      </w:r>
    </w:p>
    <w:tbl>
      <w:tblPr>
        <w:tblStyle w:val="11"/>
        <w:tblW w:w="5103" w:type="pct"/>
        <w:tblInd w:w="0"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372"/>
        <w:gridCol w:w="1695"/>
        <w:gridCol w:w="1725"/>
        <w:gridCol w:w="1665"/>
        <w:gridCol w:w="1791"/>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blHeader/>
        </w:trPr>
        <w:tc>
          <w:tcPr>
            <w:tcW w:w="1282" w:type="pct"/>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项目</w:t>
            </w:r>
          </w:p>
        </w:tc>
        <w:tc>
          <w:tcPr>
            <w:tcW w:w="916" w:type="pct"/>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年初余额</w:t>
            </w:r>
          </w:p>
        </w:tc>
        <w:tc>
          <w:tcPr>
            <w:tcW w:w="932" w:type="pct"/>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本年增加</w:t>
            </w:r>
          </w:p>
        </w:tc>
        <w:tc>
          <w:tcPr>
            <w:tcW w:w="900" w:type="pct"/>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本年减少</w:t>
            </w:r>
          </w:p>
        </w:tc>
        <w:tc>
          <w:tcPr>
            <w:tcW w:w="968" w:type="pct"/>
            <w:noWrap w:val="0"/>
            <w:vAlign w:val="center"/>
          </w:tcPr>
          <w:p>
            <w:pPr>
              <w:jc w:val="center"/>
              <w:rPr>
                <w:rFonts w:hint="eastAsia" w:ascii="宋体" w:hAnsi="宋体" w:eastAsia="仿宋_GB2312" w:cs="Times New Roman"/>
                <w:b/>
                <w:bCs/>
                <w:sz w:val="20"/>
                <w:szCs w:val="20"/>
              </w:rPr>
            </w:pPr>
            <w:r>
              <w:rPr>
                <w:rFonts w:hint="eastAsia" w:ascii="宋体" w:hAnsi="宋体" w:eastAsia="仿宋_GB2312" w:cs="Times New Roman"/>
                <w:b/>
                <w:bCs/>
                <w:sz w:val="20"/>
                <w:szCs w:val="20"/>
              </w:rPr>
              <w:t>年末余额</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jc w:val="left"/>
              <w:rPr>
                <w:rFonts w:hint="eastAsia" w:ascii="宋体" w:hAnsi="宋体" w:eastAsia="仿宋_GB2312" w:cs="Times New Roman"/>
                <w:b/>
                <w:bCs/>
                <w:sz w:val="20"/>
                <w:szCs w:val="20"/>
                <w:lang w:val="en-US" w:eastAsia="zh-CN"/>
              </w:rPr>
            </w:pPr>
            <w:r>
              <w:rPr>
                <w:rFonts w:hint="eastAsia" w:ascii="宋体" w:hAnsi="宋体" w:eastAsia="仿宋_GB2312" w:cs="Times New Roman"/>
                <w:b/>
                <w:bCs/>
                <w:sz w:val="20"/>
                <w:szCs w:val="20"/>
                <w:lang w:val="en-US" w:eastAsia="zh-CN"/>
              </w:rPr>
              <w:t>原价合计</w:t>
            </w:r>
          </w:p>
        </w:tc>
        <w:tc>
          <w:tcPr>
            <w:tcW w:w="1695" w:type="dxa"/>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23,301,015,704.74</w:t>
            </w:r>
          </w:p>
        </w:tc>
        <w:tc>
          <w:tcPr>
            <w:tcW w:w="1725" w:type="dxa"/>
            <w:noWrap w:val="0"/>
            <w:vAlign w:val="center"/>
          </w:tcPr>
          <w:p>
            <w:pPr>
              <w:spacing w:line="240" w:lineRule="auto"/>
              <w:jc w:val="right"/>
              <w:rPr>
                <w:rFonts w:hint="default" w:ascii="宋体" w:hAnsi="宋体" w:eastAsia="宋体" w:cs="Times New Roman"/>
                <w:b/>
                <w:bCs/>
                <w:sz w:val="16"/>
                <w:szCs w:val="16"/>
              </w:rPr>
            </w:pPr>
            <w:r>
              <w:rPr>
                <w:rFonts w:hint="eastAsia" w:ascii="宋体" w:hAnsi="宋体" w:eastAsia="宋体" w:cs="Times New Roman"/>
                <w:b/>
                <w:bCs/>
                <w:sz w:val="16"/>
                <w:szCs w:val="16"/>
                <w:lang w:val="en-US" w:eastAsia="zh-CN"/>
              </w:rPr>
              <w:t>2,402,719,507.95</w:t>
            </w:r>
          </w:p>
        </w:tc>
        <w:tc>
          <w:tcPr>
            <w:tcW w:w="1665" w:type="dxa"/>
            <w:noWrap w:val="0"/>
            <w:vAlign w:val="center"/>
          </w:tcPr>
          <w:p>
            <w:pPr>
              <w:spacing w:line="240" w:lineRule="auto"/>
              <w:jc w:val="right"/>
              <w:rPr>
                <w:rFonts w:hint="default"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1,303,347,126.10</w:t>
            </w:r>
          </w:p>
        </w:tc>
        <w:tc>
          <w:tcPr>
            <w:tcW w:w="1791" w:type="dxa"/>
            <w:noWrap w:val="0"/>
            <w:vAlign w:val="center"/>
          </w:tcPr>
          <w:p>
            <w:pPr>
              <w:spacing w:line="240" w:lineRule="auto"/>
              <w:jc w:val="right"/>
              <w:rPr>
                <w:rFonts w:hint="default" w:ascii="宋体" w:hAnsi="宋体" w:eastAsia="宋体" w:cs="Times New Roman"/>
                <w:b/>
                <w:bCs/>
                <w:sz w:val="16"/>
                <w:szCs w:val="16"/>
                <w:lang w:val="en-US" w:eastAsia="zh-CN"/>
              </w:rPr>
            </w:pPr>
            <w:r>
              <w:rPr>
                <w:rFonts w:hint="eastAsia" w:ascii="宋体" w:hAnsi="宋体" w:eastAsia="宋体" w:cs="Times New Roman"/>
                <w:b/>
                <w:bCs/>
                <w:sz w:val="16"/>
                <w:szCs w:val="16"/>
                <w:lang w:val="en-US" w:eastAsia="zh-CN"/>
              </w:rPr>
              <w:t>24,400,388,086.59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其中：软件</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398,646,097.85</w:t>
            </w:r>
          </w:p>
        </w:tc>
        <w:tc>
          <w:tcPr>
            <w:tcW w:w="1725" w:type="dxa"/>
            <w:noWrap w:val="0"/>
            <w:vAlign w:val="center"/>
          </w:tcPr>
          <w:p>
            <w:pPr>
              <w:spacing w:line="240" w:lineRule="auto"/>
              <w:jc w:val="right"/>
              <w:rPr>
                <w:rFonts w:hint="default" w:ascii="宋体" w:hAnsi="宋体" w:eastAsia="宋体" w:cs="Times New Roman"/>
                <w:sz w:val="16"/>
                <w:szCs w:val="16"/>
              </w:rPr>
            </w:pPr>
            <w:r>
              <w:rPr>
                <w:rFonts w:hint="eastAsia" w:ascii="宋体" w:hAnsi="宋体" w:eastAsia="宋体" w:cs="Times New Roman"/>
                <w:sz w:val="16"/>
                <w:szCs w:val="16"/>
                <w:lang w:val="en-US" w:eastAsia="zh-CN"/>
              </w:rPr>
              <w:t>260,672,409.66</w:t>
            </w:r>
          </w:p>
        </w:tc>
        <w:tc>
          <w:tcPr>
            <w:tcW w:w="1665" w:type="dxa"/>
            <w:noWrap w:val="0"/>
            <w:vAlign w:val="center"/>
          </w:tcPr>
          <w:p>
            <w:pPr>
              <w:spacing w:line="240" w:lineRule="auto"/>
              <w:jc w:val="right"/>
              <w:rPr>
                <w:rFonts w:hint="default" w:ascii="宋体" w:hAnsi="宋体" w:eastAsia="宋体" w:cs="Times New Roman"/>
                <w:sz w:val="16"/>
                <w:szCs w:val="16"/>
              </w:rPr>
            </w:pPr>
            <w:r>
              <w:rPr>
                <w:rFonts w:hint="eastAsia" w:ascii="宋体" w:hAnsi="宋体" w:eastAsia="宋体" w:cs="Times New Roman"/>
                <w:sz w:val="16"/>
                <w:szCs w:val="16"/>
                <w:lang w:val="en-US" w:eastAsia="zh-CN"/>
              </w:rPr>
              <w:t xml:space="preserve">37,131,918.96 </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622,186,588.55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土地使用权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20,953,163,806.10</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1,989,237,958.07</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1,045,407,760.36</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21,896,994,003.81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4"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海域使用权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1,810,452,689.80</w:t>
            </w:r>
          </w:p>
        </w:tc>
        <w:tc>
          <w:tcPr>
            <w:tcW w:w="1725" w:type="dxa"/>
            <w:noWrap w:val="0"/>
            <w:vAlign w:val="center"/>
          </w:tcPr>
          <w:p>
            <w:pPr>
              <w:spacing w:line="240" w:lineRule="auto"/>
              <w:jc w:val="right"/>
              <w:rPr>
                <w:rFonts w:hint="default" w:ascii="宋体" w:hAnsi="宋体" w:eastAsia="宋体" w:cs="Times New Roman"/>
                <w:sz w:val="16"/>
                <w:szCs w:val="16"/>
              </w:rPr>
            </w:pPr>
            <w:r>
              <w:rPr>
                <w:rFonts w:hint="eastAsia" w:ascii="宋体" w:hAnsi="宋体" w:eastAsia="宋体" w:cs="Times New Roman"/>
                <w:sz w:val="16"/>
                <w:szCs w:val="16"/>
                <w:lang w:val="en-US" w:eastAsia="zh-CN"/>
              </w:rPr>
              <w:t>145,708,040.15</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218,695,679.75</w:t>
            </w:r>
          </w:p>
        </w:tc>
        <w:tc>
          <w:tcPr>
            <w:tcW w:w="1791" w:type="dxa"/>
            <w:noWrap w:val="0"/>
            <w:vAlign w:val="center"/>
          </w:tcPr>
          <w:p>
            <w:pPr>
              <w:spacing w:line="240" w:lineRule="auto"/>
              <w:jc w:val="right"/>
              <w:rPr>
                <w:rFonts w:hint="default" w:ascii="宋体" w:hAnsi="宋体" w:eastAsia="宋体" w:cs="Times New Roman"/>
                <w:sz w:val="16"/>
                <w:szCs w:val="16"/>
              </w:rPr>
            </w:pPr>
            <w:r>
              <w:rPr>
                <w:rFonts w:hint="eastAsia" w:ascii="宋体" w:hAnsi="宋体" w:eastAsia="宋体" w:cs="Times New Roman"/>
                <w:sz w:val="16"/>
                <w:szCs w:val="16"/>
                <w:lang w:val="en-US" w:eastAsia="zh-CN"/>
              </w:rPr>
              <w:t>1,737,465,050.20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职工住宅使用权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9,200,315.60</w:t>
            </w:r>
          </w:p>
        </w:tc>
        <w:tc>
          <w:tcPr>
            <w:tcW w:w="1725" w:type="dxa"/>
            <w:noWrap w:val="0"/>
            <w:vAlign w:val="center"/>
          </w:tcPr>
          <w:p>
            <w:pPr>
              <w:spacing w:line="240" w:lineRule="auto"/>
              <w:jc w:val="right"/>
              <w:rPr>
                <w:rFonts w:hint="default" w:ascii="宋体" w:hAnsi="宋体" w:eastAsia="宋体" w:cs="Times New Roman"/>
                <w:sz w:val="16"/>
                <w:szCs w:val="16"/>
              </w:rPr>
            </w:pP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1,744,354.64</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7,455,960.96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采矿权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78,750,440.00</w:t>
            </w:r>
          </w:p>
        </w:tc>
        <w:tc>
          <w:tcPr>
            <w:tcW w:w="1725" w:type="dxa"/>
            <w:noWrap w:val="0"/>
            <w:vAlign w:val="center"/>
          </w:tcPr>
          <w:p>
            <w:pPr>
              <w:spacing w:line="240" w:lineRule="auto"/>
              <w:jc w:val="right"/>
              <w:rPr>
                <w:rFonts w:hint="default" w:ascii="宋体" w:hAnsi="宋体" w:eastAsia="宋体" w:cs="Times New Roman"/>
                <w:sz w:val="16"/>
                <w:szCs w:val="16"/>
              </w:rPr>
            </w:pPr>
          </w:p>
        </w:tc>
        <w:tc>
          <w:tcPr>
            <w:tcW w:w="1665" w:type="dxa"/>
            <w:noWrap w:val="0"/>
            <w:vAlign w:val="center"/>
          </w:tcPr>
          <w:p>
            <w:pPr>
              <w:spacing w:line="240" w:lineRule="auto"/>
              <w:jc w:val="right"/>
              <w:rPr>
                <w:rFonts w:hint="default" w:ascii="宋体" w:hAnsi="宋体" w:eastAsia="宋体" w:cs="Times New Roman"/>
                <w:sz w:val="16"/>
                <w:szCs w:val="16"/>
              </w:rPr>
            </w:pP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78,750,440.00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专利权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14,851.49</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 xml:space="preserve"> </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14,851.49</w:t>
            </w:r>
          </w:p>
        </w:tc>
        <w:tc>
          <w:tcPr>
            <w:tcW w:w="1791" w:type="dxa"/>
            <w:noWrap w:val="0"/>
            <w:vAlign w:val="center"/>
          </w:tcPr>
          <w:p>
            <w:pPr>
              <w:spacing w:line="240" w:lineRule="auto"/>
              <w:jc w:val="right"/>
              <w:rPr>
                <w:rFonts w:hint="default" w:ascii="宋体" w:hAnsi="宋体" w:eastAsia="宋体" w:cs="Times New Roman"/>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商标权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16,500.00</w:t>
            </w:r>
          </w:p>
        </w:tc>
        <w:tc>
          <w:tcPr>
            <w:tcW w:w="1725" w:type="dxa"/>
            <w:noWrap w:val="0"/>
            <w:vAlign w:val="center"/>
          </w:tcPr>
          <w:p>
            <w:pPr>
              <w:spacing w:line="240" w:lineRule="auto"/>
              <w:jc w:val="right"/>
              <w:rPr>
                <w:rFonts w:hint="default" w:ascii="宋体" w:hAnsi="宋体" w:eastAsia="宋体" w:cs="Times New Roman"/>
                <w:sz w:val="16"/>
                <w:szCs w:val="16"/>
              </w:rPr>
            </w:pP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16,500.00</w:t>
            </w:r>
          </w:p>
        </w:tc>
        <w:tc>
          <w:tcPr>
            <w:tcW w:w="1791" w:type="dxa"/>
            <w:noWrap w:val="0"/>
            <w:vAlign w:val="center"/>
          </w:tcPr>
          <w:p>
            <w:pPr>
              <w:spacing w:line="240" w:lineRule="auto"/>
              <w:jc w:val="right"/>
              <w:rPr>
                <w:rFonts w:hint="default" w:ascii="宋体" w:hAnsi="宋体" w:eastAsia="宋体" w:cs="Times New Roman"/>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其他</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50,771,003.90</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7,101,100.07</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336,060.90</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57,536,043.07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jc w:val="left"/>
              <w:rPr>
                <w:rFonts w:hint="eastAsia" w:ascii="宋体" w:hAnsi="宋体" w:eastAsia="仿宋_GB2312" w:cs="Times New Roman"/>
                <w:b/>
                <w:bCs/>
                <w:sz w:val="20"/>
                <w:szCs w:val="20"/>
                <w:lang w:val="en-US" w:eastAsia="zh-CN"/>
              </w:rPr>
            </w:pPr>
            <w:r>
              <w:rPr>
                <w:rFonts w:hint="eastAsia" w:ascii="宋体" w:hAnsi="宋体" w:eastAsia="仿宋_GB2312" w:cs="Times New Roman"/>
                <w:b/>
                <w:bCs/>
                <w:sz w:val="20"/>
                <w:szCs w:val="20"/>
                <w:lang w:val="en-US" w:eastAsia="zh-CN"/>
              </w:rPr>
              <w:t>累计摊销合计</w:t>
            </w:r>
          </w:p>
        </w:tc>
        <w:tc>
          <w:tcPr>
            <w:tcW w:w="1695" w:type="dxa"/>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3,166,412,120.03</w:t>
            </w:r>
          </w:p>
        </w:tc>
        <w:tc>
          <w:tcPr>
            <w:tcW w:w="1725" w:type="dxa"/>
            <w:noWrap w:val="0"/>
            <w:vAlign w:val="center"/>
          </w:tcPr>
          <w:p>
            <w:pPr>
              <w:spacing w:line="240" w:lineRule="auto"/>
              <w:jc w:val="right"/>
              <w:rPr>
                <w:rFonts w:hint="default" w:ascii="宋体" w:hAnsi="宋体" w:eastAsia="宋体" w:cs="Times New Roman"/>
                <w:b/>
                <w:bCs/>
                <w:sz w:val="16"/>
                <w:szCs w:val="16"/>
              </w:rPr>
            </w:pPr>
            <w:r>
              <w:rPr>
                <w:rFonts w:hint="eastAsia" w:ascii="宋体" w:hAnsi="宋体" w:eastAsia="宋体" w:cs="Times New Roman"/>
                <w:b/>
                <w:bCs/>
                <w:sz w:val="16"/>
                <w:szCs w:val="16"/>
                <w:lang w:val="en-US" w:eastAsia="zh-CN"/>
              </w:rPr>
              <w:t>702,767,875.39</w:t>
            </w:r>
          </w:p>
        </w:tc>
        <w:tc>
          <w:tcPr>
            <w:tcW w:w="1665" w:type="dxa"/>
            <w:noWrap w:val="0"/>
            <w:vAlign w:val="center"/>
          </w:tcPr>
          <w:p>
            <w:pPr>
              <w:spacing w:line="240" w:lineRule="auto"/>
              <w:jc w:val="right"/>
              <w:rPr>
                <w:rFonts w:hint="default" w:ascii="宋体" w:hAnsi="宋体" w:eastAsia="宋体" w:cs="Times New Roman"/>
                <w:b/>
                <w:bCs/>
                <w:sz w:val="16"/>
                <w:szCs w:val="16"/>
              </w:rPr>
            </w:pPr>
            <w:r>
              <w:rPr>
                <w:rFonts w:hint="eastAsia" w:ascii="宋体" w:hAnsi="宋体" w:eastAsia="宋体" w:cs="Times New Roman"/>
                <w:b/>
                <w:bCs/>
                <w:sz w:val="16"/>
                <w:szCs w:val="16"/>
                <w:lang w:val="en-US" w:eastAsia="zh-CN"/>
              </w:rPr>
              <w:t>161,545,874.10</w:t>
            </w:r>
          </w:p>
        </w:tc>
        <w:tc>
          <w:tcPr>
            <w:tcW w:w="1791" w:type="dxa"/>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3,707,634,121.31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其中：软件</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191,516,690.76</w:t>
            </w:r>
          </w:p>
        </w:tc>
        <w:tc>
          <w:tcPr>
            <w:tcW w:w="1725" w:type="dxa"/>
            <w:noWrap w:val="0"/>
            <w:vAlign w:val="center"/>
          </w:tcPr>
          <w:p>
            <w:pPr>
              <w:spacing w:line="240" w:lineRule="auto"/>
              <w:jc w:val="right"/>
              <w:rPr>
                <w:rFonts w:hint="default" w:ascii="宋体" w:hAnsi="宋体" w:eastAsia="宋体" w:cs="Times New Roman"/>
                <w:sz w:val="16"/>
                <w:szCs w:val="16"/>
              </w:rPr>
            </w:pPr>
            <w:r>
              <w:rPr>
                <w:rFonts w:hint="eastAsia" w:ascii="宋体" w:hAnsi="宋体" w:eastAsia="宋体" w:cs="Times New Roman"/>
                <w:sz w:val="16"/>
                <w:szCs w:val="16"/>
                <w:lang w:val="en-US" w:eastAsia="zh-CN"/>
              </w:rPr>
              <w:t>107,117,452.26</w:t>
            </w:r>
          </w:p>
        </w:tc>
        <w:tc>
          <w:tcPr>
            <w:tcW w:w="1665" w:type="dxa"/>
            <w:noWrap w:val="0"/>
            <w:vAlign w:val="center"/>
          </w:tcPr>
          <w:p>
            <w:pPr>
              <w:spacing w:line="240" w:lineRule="auto"/>
              <w:jc w:val="right"/>
              <w:rPr>
                <w:rFonts w:hint="default" w:ascii="宋体" w:hAnsi="宋体" w:eastAsia="宋体" w:cs="Times New Roman"/>
                <w:sz w:val="16"/>
                <w:szCs w:val="16"/>
              </w:rPr>
            </w:pPr>
            <w:r>
              <w:rPr>
                <w:rFonts w:hint="eastAsia" w:ascii="宋体" w:hAnsi="宋体" w:eastAsia="宋体" w:cs="Times New Roman"/>
                <w:sz w:val="16"/>
                <w:szCs w:val="16"/>
                <w:lang w:val="en-US" w:eastAsia="zh-CN"/>
              </w:rPr>
              <w:t xml:space="preserve">27,025,293.53 </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271,608,849.49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土地使用权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2,614,805,595.67</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562,199,115.57</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118,685,660.54</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3,058,319,050.70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海域使用权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243,440,370.82</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17,021,141.48</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14,027,204.19</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246,434,308.11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职工住宅使用权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5,131,625.16</w:t>
            </w:r>
          </w:p>
        </w:tc>
        <w:tc>
          <w:tcPr>
            <w:tcW w:w="1725" w:type="dxa"/>
            <w:noWrap w:val="0"/>
            <w:vAlign w:val="center"/>
          </w:tcPr>
          <w:p>
            <w:pPr>
              <w:spacing w:line="240" w:lineRule="auto"/>
              <w:jc w:val="right"/>
              <w:rPr>
                <w:rFonts w:hint="default" w:ascii="宋体" w:hAnsi="宋体" w:eastAsia="宋体" w:cs="Times New Roman"/>
                <w:sz w:val="16"/>
                <w:szCs w:val="16"/>
              </w:rPr>
            </w:pP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1,486,357.63</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3,645,267.53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采矿权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66,668,985.41</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9,993,252.71</w:t>
            </w:r>
          </w:p>
        </w:tc>
        <w:tc>
          <w:tcPr>
            <w:tcW w:w="1665" w:type="dxa"/>
            <w:noWrap w:val="0"/>
            <w:vAlign w:val="center"/>
          </w:tcPr>
          <w:p>
            <w:pPr>
              <w:spacing w:line="240" w:lineRule="auto"/>
              <w:jc w:val="right"/>
              <w:rPr>
                <w:rFonts w:hint="default" w:ascii="宋体" w:hAnsi="宋体" w:eastAsia="宋体" w:cs="Times New Roman"/>
                <w:sz w:val="16"/>
                <w:szCs w:val="16"/>
              </w:rPr>
            </w:pP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76,662,238.12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专利权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2,887.78</w:t>
            </w:r>
          </w:p>
        </w:tc>
        <w:tc>
          <w:tcPr>
            <w:tcW w:w="1725" w:type="dxa"/>
            <w:noWrap w:val="0"/>
            <w:vAlign w:val="center"/>
          </w:tcPr>
          <w:p>
            <w:pPr>
              <w:spacing w:line="240" w:lineRule="auto"/>
              <w:jc w:val="right"/>
              <w:rPr>
                <w:rFonts w:hint="default" w:ascii="宋体" w:hAnsi="宋体" w:eastAsia="宋体" w:cs="Times New Roman"/>
                <w:sz w:val="16"/>
                <w:szCs w:val="16"/>
              </w:rPr>
            </w:pP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2,887.78</w:t>
            </w:r>
          </w:p>
        </w:tc>
        <w:tc>
          <w:tcPr>
            <w:tcW w:w="1791" w:type="dxa"/>
            <w:noWrap w:val="0"/>
            <w:vAlign w:val="center"/>
          </w:tcPr>
          <w:p>
            <w:pPr>
              <w:spacing w:line="240" w:lineRule="auto"/>
              <w:jc w:val="right"/>
              <w:rPr>
                <w:rFonts w:hint="default" w:ascii="宋体" w:hAnsi="宋体" w:eastAsia="宋体" w:cs="Times New Roman"/>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商标权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5,225.00</w:t>
            </w:r>
          </w:p>
        </w:tc>
        <w:tc>
          <w:tcPr>
            <w:tcW w:w="1725" w:type="dxa"/>
            <w:noWrap w:val="0"/>
            <w:vAlign w:val="center"/>
          </w:tcPr>
          <w:p>
            <w:pPr>
              <w:spacing w:line="240" w:lineRule="auto"/>
              <w:jc w:val="right"/>
              <w:rPr>
                <w:rFonts w:hint="default" w:ascii="宋体" w:hAnsi="宋体" w:eastAsia="宋体" w:cs="Times New Roman"/>
                <w:sz w:val="16"/>
                <w:szCs w:val="16"/>
              </w:rPr>
            </w:pP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5,225.00</w:t>
            </w:r>
          </w:p>
        </w:tc>
        <w:tc>
          <w:tcPr>
            <w:tcW w:w="1791" w:type="dxa"/>
            <w:noWrap w:val="0"/>
            <w:vAlign w:val="center"/>
          </w:tcPr>
          <w:p>
            <w:pPr>
              <w:spacing w:line="240" w:lineRule="auto"/>
              <w:jc w:val="right"/>
              <w:rPr>
                <w:rFonts w:hint="default" w:ascii="宋体" w:hAnsi="宋体" w:eastAsia="宋体" w:cs="Times New Roman"/>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其他</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44,840,739.43</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6,436,913.36</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313,245.43</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50,964,407.36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jc w:val="left"/>
              <w:rPr>
                <w:rFonts w:hint="eastAsia" w:ascii="宋体" w:hAnsi="宋体" w:eastAsia="仿宋_GB2312" w:cs="Times New Roman"/>
                <w:b/>
                <w:bCs/>
                <w:sz w:val="20"/>
                <w:szCs w:val="20"/>
                <w:lang w:val="en-US" w:eastAsia="zh-CN"/>
              </w:rPr>
            </w:pPr>
            <w:r>
              <w:rPr>
                <w:rFonts w:hint="eastAsia" w:ascii="宋体" w:hAnsi="宋体" w:eastAsia="仿宋_GB2312" w:cs="Times New Roman"/>
                <w:b/>
                <w:bCs/>
                <w:sz w:val="20"/>
                <w:szCs w:val="20"/>
                <w:lang w:val="en-US" w:eastAsia="zh-CN"/>
              </w:rPr>
              <w:t>减值准备合计</w:t>
            </w:r>
          </w:p>
        </w:tc>
        <w:tc>
          <w:tcPr>
            <w:tcW w:w="1695" w:type="dxa"/>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10,518,711.94</w:t>
            </w:r>
          </w:p>
        </w:tc>
        <w:tc>
          <w:tcPr>
            <w:tcW w:w="1725" w:type="dxa"/>
            <w:noWrap w:val="0"/>
            <w:vAlign w:val="center"/>
          </w:tcPr>
          <w:p>
            <w:pPr>
              <w:spacing w:line="240" w:lineRule="auto"/>
              <w:jc w:val="right"/>
              <w:rPr>
                <w:rFonts w:hint="default" w:ascii="宋体" w:hAnsi="宋体" w:eastAsia="宋体" w:cs="Times New Roman"/>
                <w:b/>
                <w:bCs/>
                <w:sz w:val="16"/>
                <w:szCs w:val="16"/>
              </w:rPr>
            </w:pPr>
            <w:r>
              <w:rPr>
                <w:rFonts w:hint="eastAsia" w:ascii="宋体" w:hAnsi="宋体" w:eastAsia="宋体" w:cs="Times New Roman"/>
                <w:b/>
                <w:bCs/>
                <w:sz w:val="16"/>
                <w:szCs w:val="16"/>
                <w:lang w:val="en-US" w:eastAsia="zh-CN"/>
              </w:rPr>
              <w:t>11,550,847.50</w:t>
            </w:r>
          </w:p>
        </w:tc>
        <w:tc>
          <w:tcPr>
            <w:tcW w:w="1665" w:type="dxa"/>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3,350,311.45</w:t>
            </w:r>
          </w:p>
        </w:tc>
        <w:tc>
          <w:tcPr>
            <w:tcW w:w="1791" w:type="dxa"/>
            <w:noWrap w:val="0"/>
            <w:vAlign w:val="center"/>
          </w:tcPr>
          <w:p>
            <w:pPr>
              <w:spacing w:line="240" w:lineRule="auto"/>
              <w:jc w:val="right"/>
              <w:rPr>
                <w:rFonts w:hint="default" w:ascii="宋体" w:hAnsi="宋体" w:eastAsia="宋体" w:cs="Times New Roman"/>
                <w:b/>
                <w:bCs/>
                <w:sz w:val="16"/>
                <w:szCs w:val="16"/>
              </w:rPr>
            </w:pPr>
            <w:r>
              <w:rPr>
                <w:rFonts w:hint="eastAsia" w:ascii="宋体" w:hAnsi="宋体" w:eastAsia="宋体" w:cs="Times New Roman"/>
                <w:b/>
                <w:bCs/>
                <w:sz w:val="16"/>
                <w:szCs w:val="16"/>
                <w:lang w:val="en-US" w:eastAsia="zh-CN"/>
              </w:rPr>
              <w:t>18,719,247.99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其中：软件</w:t>
            </w:r>
          </w:p>
        </w:tc>
        <w:tc>
          <w:tcPr>
            <w:tcW w:w="1695" w:type="dxa"/>
            <w:noWrap w:val="0"/>
            <w:vAlign w:val="center"/>
          </w:tcPr>
          <w:p>
            <w:pPr>
              <w:spacing w:line="240" w:lineRule="auto"/>
              <w:jc w:val="right"/>
              <w:rPr>
                <w:rFonts w:hint="default" w:ascii="宋体" w:hAnsi="宋体" w:eastAsia="宋体" w:cs="Times New Roman"/>
                <w:sz w:val="16"/>
                <w:szCs w:val="16"/>
              </w:rPr>
            </w:pPr>
          </w:p>
        </w:tc>
        <w:tc>
          <w:tcPr>
            <w:tcW w:w="1725" w:type="dxa"/>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229,985.96</w:t>
            </w:r>
          </w:p>
        </w:tc>
        <w:tc>
          <w:tcPr>
            <w:tcW w:w="1665" w:type="dxa"/>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4,360.02</w:t>
            </w:r>
          </w:p>
        </w:tc>
        <w:tc>
          <w:tcPr>
            <w:tcW w:w="1791" w:type="dxa"/>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225,625.94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土地使用权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10,518,711.94</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3,345,951.43</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3,345,951.43</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10,518,711.94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海域使用权</w:t>
            </w:r>
          </w:p>
        </w:tc>
        <w:tc>
          <w:tcPr>
            <w:tcW w:w="1695" w:type="dxa"/>
            <w:noWrap w:val="0"/>
            <w:vAlign w:val="center"/>
          </w:tcPr>
          <w:p>
            <w:pPr>
              <w:spacing w:line="240" w:lineRule="auto"/>
              <w:jc w:val="right"/>
              <w:rPr>
                <w:rFonts w:hint="default" w:ascii="宋体" w:hAnsi="宋体" w:eastAsia="宋体" w:cs="Times New Roman"/>
                <w:sz w:val="16"/>
                <w:szCs w:val="16"/>
              </w:rPr>
            </w:pPr>
          </w:p>
        </w:tc>
        <w:tc>
          <w:tcPr>
            <w:tcW w:w="1725" w:type="dxa"/>
            <w:noWrap w:val="0"/>
            <w:vAlign w:val="center"/>
          </w:tcPr>
          <w:p>
            <w:pPr>
              <w:spacing w:line="240" w:lineRule="auto"/>
              <w:jc w:val="right"/>
              <w:rPr>
                <w:rFonts w:hint="default" w:ascii="宋体" w:hAnsi="宋体" w:eastAsia="宋体" w:cs="Times New Roman"/>
                <w:sz w:val="16"/>
                <w:szCs w:val="16"/>
              </w:rPr>
            </w:pPr>
            <w:r>
              <w:rPr>
                <w:rFonts w:hint="eastAsia" w:ascii="宋体" w:hAnsi="宋体" w:eastAsia="宋体" w:cs="Times New Roman"/>
                <w:sz w:val="16"/>
                <w:szCs w:val="16"/>
                <w:lang w:val="en-US" w:eastAsia="zh-CN"/>
              </w:rPr>
              <w:t>7,974,910.11</w:t>
            </w:r>
          </w:p>
        </w:tc>
        <w:tc>
          <w:tcPr>
            <w:tcW w:w="1665" w:type="dxa"/>
            <w:noWrap w:val="0"/>
            <w:vAlign w:val="center"/>
          </w:tcPr>
          <w:p>
            <w:pPr>
              <w:spacing w:line="240" w:lineRule="auto"/>
              <w:jc w:val="right"/>
              <w:rPr>
                <w:rFonts w:hint="default" w:ascii="宋体" w:hAnsi="宋体" w:eastAsia="宋体" w:cs="Times New Roman"/>
                <w:sz w:val="16"/>
                <w:szCs w:val="16"/>
              </w:rPr>
            </w:pPr>
          </w:p>
        </w:tc>
        <w:tc>
          <w:tcPr>
            <w:tcW w:w="1791" w:type="dxa"/>
            <w:noWrap w:val="0"/>
            <w:vAlign w:val="center"/>
          </w:tcPr>
          <w:p>
            <w:pPr>
              <w:spacing w:line="240" w:lineRule="auto"/>
              <w:jc w:val="right"/>
              <w:rPr>
                <w:rFonts w:hint="default" w:ascii="宋体" w:hAnsi="宋体" w:eastAsia="宋体" w:cs="Times New Roman"/>
                <w:sz w:val="16"/>
                <w:szCs w:val="16"/>
              </w:rPr>
            </w:pPr>
            <w:r>
              <w:rPr>
                <w:rFonts w:hint="eastAsia" w:ascii="宋体" w:hAnsi="宋体" w:eastAsia="宋体" w:cs="Times New Roman"/>
                <w:sz w:val="16"/>
                <w:szCs w:val="16"/>
                <w:lang w:val="en-US" w:eastAsia="zh-CN"/>
              </w:rPr>
              <w:t>7,974,910.11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职工住宅使用权</w:t>
            </w:r>
          </w:p>
        </w:tc>
        <w:tc>
          <w:tcPr>
            <w:tcW w:w="916" w:type="pct"/>
            <w:noWrap w:val="0"/>
            <w:vAlign w:val="center"/>
          </w:tcPr>
          <w:p>
            <w:pPr>
              <w:spacing w:line="240" w:lineRule="auto"/>
              <w:jc w:val="right"/>
              <w:rPr>
                <w:rFonts w:hint="default" w:ascii="宋体" w:hAnsi="宋体" w:cs="Times New Roman"/>
                <w:sz w:val="16"/>
                <w:szCs w:val="16"/>
              </w:rPr>
            </w:pPr>
          </w:p>
        </w:tc>
        <w:tc>
          <w:tcPr>
            <w:tcW w:w="932" w:type="pct"/>
            <w:noWrap w:val="0"/>
            <w:vAlign w:val="center"/>
          </w:tcPr>
          <w:p>
            <w:pPr>
              <w:spacing w:line="240" w:lineRule="auto"/>
              <w:jc w:val="right"/>
              <w:rPr>
                <w:rFonts w:hint="default" w:ascii="宋体" w:hAnsi="宋体" w:cs="Times New Roman"/>
                <w:sz w:val="16"/>
                <w:szCs w:val="16"/>
              </w:rPr>
            </w:pPr>
          </w:p>
        </w:tc>
        <w:tc>
          <w:tcPr>
            <w:tcW w:w="900" w:type="pct"/>
            <w:noWrap w:val="0"/>
            <w:vAlign w:val="center"/>
          </w:tcPr>
          <w:p>
            <w:pPr>
              <w:spacing w:line="240" w:lineRule="auto"/>
              <w:jc w:val="right"/>
              <w:rPr>
                <w:rFonts w:hint="default" w:ascii="宋体" w:hAnsi="宋体" w:cs="Times New Roman"/>
                <w:sz w:val="16"/>
                <w:szCs w:val="16"/>
              </w:rPr>
            </w:pPr>
          </w:p>
        </w:tc>
        <w:tc>
          <w:tcPr>
            <w:tcW w:w="968" w:type="pct"/>
            <w:noWrap w:val="0"/>
            <w:vAlign w:val="center"/>
          </w:tcPr>
          <w:p>
            <w:pPr>
              <w:spacing w:line="240" w:lineRule="auto"/>
              <w:jc w:val="right"/>
              <w:rPr>
                <w:rFonts w:hint="default" w:ascii="宋体" w:hAnsi="宋体" w:cs="Times New Roman"/>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采矿权</w:t>
            </w:r>
          </w:p>
        </w:tc>
        <w:tc>
          <w:tcPr>
            <w:tcW w:w="916" w:type="pct"/>
            <w:noWrap w:val="0"/>
            <w:vAlign w:val="center"/>
          </w:tcPr>
          <w:p>
            <w:pPr>
              <w:spacing w:line="240" w:lineRule="auto"/>
              <w:jc w:val="right"/>
              <w:rPr>
                <w:rFonts w:hint="default" w:ascii="宋体" w:hAnsi="宋体" w:cs="Times New Roman"/>
                <w:sz w:val="16"/>
                <w:szCs w:val="16"/>
              </w:rPr>
            </w:pPr>
          </w:p>
        </w:tc>
        <w:tc>
          <w:tcPr>
            <w:tcW w:w="932" w:type="pct"/>
            <w:noWrap w:val="0"/>
            <w:vAlign w:val="center"/>
          </w:tcPr>
          <w:p>
            <w:pPr>
              <w:spacing w:line="240" w:lineRule="auto"/>
              <w:jc w:val="right"/>
              <w:rPr>
                <w:rFonts w:hint="default" w:ascii="宋体" w:hAnsi="宋体" w:cs="Times New Roman"/>
                <w:sz w:val="16"/>
                <w:szCs w:val="16"/>
              </w:rPr>
            </w:pPr>
          </w:p>
        </w:tc>
        <w:tc>
          <w:tcPr>
            <w:tcW w:w="900" w:type="pct"/>
            <w:noWrap w:val="0"/>
            <w:vAlign w:val="center"/>
          </w:tcPr>
          <w:p>
            <w:pPr>
              <w:spacing w:line="240" w:lineRule="auto"/>
              <w:jc w:val="right"/>
              <w:rPr>
                <w:rFonts w:hint="default" w:ascii="宋体" w:hAnsi="宋体" w:cs="Times New Roman"/>
                <w:sz w:val="16"/>
                <w:szCs w:val="16"/>
              </w:rPr>
            </w:pPr>
          </w:p>
        </w:tc>
        <w:tc>
          <w:tcPr>
            <w:tcW w:w="968" w:type="pct"/>
            <w:noWrap w:val="0"/>
            <w:vAlign w:val="center"/>
          </w:tcPr>
          <w:p>
            <w:pPr>
              <w:spacing w:line="240" w:lineRule="auto"/>
              <w:jc w:val="right"/>
              <w:rPr>
                <w:rFonts w:hint="default" w:ascii="宋体" w:hAnsi="宋体" w:cs="Times New Roman"/>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专利权</w:t>
            </w:r>
          </w:p>
        </w:tc>
        <w:tc>
          <w:tcPr>
            <w:tcW w:w="916" w:type="pct"/>
            <w:noWrap w:val="0"/>
            <w:vAlign w:val="center"/>
          </w:tcPr>
          <w:p>
            <w:pPr>
              <w:spacing w:line="240" w:lineRule="auto"/>
              <w:jc w:val="right"/>
              <w:rPr>
                <w:rFonts w:hint="default" w:ascii="宋体" w:hAnsi="宋体" w:cs="Times New Roman"/>
                <w:sz w:val="16"/>
                <w:szCs w:val="16"/>
              </w:rPr>
            </w:pPr>
          </w:p>
        </w:tc>
        <w:tc>
          <w:tcPr>
            <w:tcW w:w="932" w:type="pct"/>
            <w:noWrap w:val="0"/>
            <w:vAlign w:val="center"/>
          </w:tcPr>
          <w:p>
            <w:pPr>
              <w:spacing w:line="240" w:lineRule="auto"/>
              <w:jc w:val="right"/>
              <w:rPr>
                <w:rFonts w:hint="default" w:ascii="宋体" w:hAnsi="宋体" w:cs="Times New Roman"/>
                <w:sz w:val="16"/>
                <w:szCs w:val="16"/>
              </w:rPr>
            </w:pPr>
          </w:p>
        </w:tc>
        <w:tc>
          <w:tcPr>
            <w:tcW w:w="900" w:type="pct"/>
            <w:noWrap w:val="0"/>
            <w:vAlign w:val="center"/>
          </w:tcPr>
          <w:p>
            <w:pPr>
              <w:spacing w:line="240" w:lineRule="auto"/>
              <w:jc w:val="right"/>
              <w:rPr>
                <w:rFonts w:hint="default" w:ascii="宋体" w:hAnsi="宋体" w:cs="Times New Roman"/>
                <w:sz w:val="16"/>
                <w:szCs w:val="16"/>
              </w:rPr>
            </w:pPr>
          </w:p>
        </w:tc>
        <w:tc>
          <w:tcPr>
            <w:tcW w:w="968" w:type="pct"/>
            <w:noWrap w:val="0"/>
            <w:vAlign w:val="center"/>
          </w:tcPr>
          <w:p>
            <w:pPr>
              <w:spacing w:line="240" w:lineRule="auto"/>
              <w:jc w:val="right"/>
              <w:rPr>
                <w:rFonts w:hint="default" w:ascii="宋体" w:hAnsi="宋体" w:cs="Times New Roman"/>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商标权</w:t>
            </w:r>
          </w:p>
        </w:tc>
        <w:tc>
          <w:tcPr>
            <w:tcW w:w="916" w:type="pct"/>
            <w:noWrap w:val="0"/>
            <w:vAlign w:val="center"/>
          </w:tcPr>
          <w:p>
            <w:pPr>
              <w:spacing w:line="240" w:lineRule="auto"/>
              <w:jc w:val="right"/>
              <w:rPr>
                <w:rFonts w:hint="default" w:ascii="宋体" w:hAnsi="宋体" w:cs="Times New Roman"/>
                <w:sz w:val="16"/>
                <w:szCs w:val="16"/>
              </w:rPr>
            </w:pPr>
          </w:p>
        </w:tc>
        <w:tc>
          <w:tcPr>
            <w:tcW w:w="932" w:type="pct"/>
            <w:noWrap w:val="0"/>
            <w:vAlign w:val="center"/>
          </w:tcPr>
          <w:p>
            <w:pPr>
              <w:spacing w:line="240" w:lineRule="auto"/>
              <w:jc w:val="right"/>
              <w:rPr>
                <w:rFonts w:hint="default" w:ascii="宋体" w:hAnsi="宋体" w:cs="Times New Roman"/>
                <w:sz w:val="16"/>
                <w:szCs w:val="16"/>
              </w:rPr>
            </w:pPr>
          </w:p>
        </w:tc>
        <w:tc>
          <w:tcPr>
            <w:tcW w:w="900" w:type="pct"/>
            <w:noWrap w:val="0"/>
            <w:vAlign w:val="center"/>
          </w:tcPr>
          <w:p>
            <w:pPr>
              <w:spacing w:line="240" w:lineRule="auto"/>
              <w:jc w:val="right"/>
              <w:rPr>
                <w:rFonts w:hint="default" w:ascii="宋体" w:hAnsi="宋体" w:cs="Times New Roman"/>
                <w:sz w:val="16"/>
                <w:szCs w:val="16"/>
              </w:rPr>
            </w:pPr>
          </w:p>
        </w:tc>
        <w:tc>
          <w:tcPr>
            <w:tcW w:w="968" w:type="pct"/>
            <w:noWrap w:val="0"/>
            <w:vAlign w:val="center"/>
          </w:tcPr>
          <w:p>
            <w:pPr>
              <w:spacing w:line="240" w:lineRule="auto"/>
              <w:jc w:val="right"/>
              <w:rPr>
                <w:rFonts w:hint="default" w:ascii="宋体" w:hAnsi="宋体" w:cs="Times New Roman"/>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其他</w:t>
            </w:r>
          </w:p>
        </w:tc>
        <w:tc>
          <w:tcPr>
            <w:tcW w:w="916" w:type="pct"/>
            <w:noWrap w:val="0"/>
            <w:vAlign w:val="center"/>
          </w:tcPr>
          <w:p>
            <w:pPr>
              <w:spacing w:line="240" w:lineRule="auto"/>
              <w:jc w:val="right"/>
              <w:rPr>
                <w:rFonts w:hint="default" w:ascii="宋体" w:hAnsi="宋体" w:cs="Times New Roman"/>
                <w:sz w:val="16"/>
                <w:szCs w:val="16"/>
              </w:rPr>
            </w:pPr>
          </w:p>
        </w:tc>
        <w:tc>
          <w:tcPr>
            <w:tcW w:w="932" w:type="pct"/>
            <w:noWrap w:val="0"/>
            <w:vAlign w:val="center"/>
          </w:tcPr>
          <w:p>
            <w:pPr>
              <w:spacing w:line="240" w:lineRule="auto"/>
              <w:jc w:val="right"/>
              <w:rPr>
                <w:rFonts w:hint="default" w:ascii="宋体" w:hAnsi="宋体" w:cs="Times New Roman"/>
                <w:sz w:val="16"/>
                <w:szCs w:val="16"/>
              </w:rPr>
            </w:pPr>
          </w:p>
        </w:tc>
        <w:tc>
          <w:tcPr>
            <w:tcW w:w="900" w:type="pct"/>
            <w:noWrap w:val="0"/>
            <w:vAlign w:val="center"/>
          </w:tcPr>
          <w:p>
            <w:pPr>
              <w:spacing w:line="240" w:lineRule="auto"/>
              <w:jc w:val="right"/>
              <w:rPr>
                <w:rFonts w:hint="default" w:ascii="宋体" w:hAnsi="宋体" w:cs="Times New Roman"/>
                <w:sz w:val="16"/>
                <w:szCs w:val="16"/>
              </w:rPr>
            </w:pPr>
          </w:p>
        </w:tc>
        <w:tc>
          <w:tcPr>
            <w:tcW w:w="968" w:type="pct"/>
            <w:noWrap w:val="0"/>
            <w:vAlign w:val="center"/>
          </w:tcPr>
          <w:p>
            <w:pPr>
              <w:spacing w:line="240" w:lineRule="auto"/>
              <w:jc w:val="right"/>
              <w:rPr>
                <w:rFonts w:hint="default" w:ascii="宋体" w:hAnsi="宋体" w:cs="Times New Roman"/>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jc w:val="left"/>
              <w:rPr>
                <w:rFonts w:hint="eastAsia" w:ascii="宋体" w:hAnsi="宋体" w:eastAsia="仿宋_GB2312" w:cs="Times New Roman"/>
                <w:b/>
                <w:bCs/>
                <w:sz w:val="20"/>
                <w:szCs w:val="20"/>
                <w:lang w:val="en-US" w:eastAsia="zh-CN"/>
              </w:rPr>
            </w:pPr>
            <w:r>
              <w:rPr>
                <w:rFonts w:hint="eastAsia" w:ascii="宋体" w:hAnsi="宋体" w:eastAsia="仿宋_GB2312" w:cs="Times New Roman"/>
                <w:b/>
                <w:bCs/>
                <w:sz w:val="20"/>
                <w:szCs w:val="20"/>
                <w:lang w:val="en-US" w:eastAsia="zh-CN"/>
              </w:rPr>
              <w:t>账面价值合计</w:t>
            </w:r>
          </w:p>
        </w:tc>
        <w:tc>
          <w:tcPr>
            <w:tcW w:w="1695" w:type="dxa"/>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20,124,084,872.77</w:t>
            </w:r>
          </w:p>
        </w:tc>
        <w:tc>
          <w:tcPr>
            <w:tcW w:w="1725" w:type="dxa"/>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w:t>
            </w:r>
          </w:p>
        </w:tc>
        <w:tc>
          <w:tcPr>
            <w:tcW w:w="1665" w:type="dxa"/>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w:t>
            </w:r>
          </w:p>
        </w:tc>
        <w:tc>
          <w:tcPr>
            <w:tcW w:w="1791" w:type="dxa"/>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20,674,034,717.29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其中：软件</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207,129,407.09</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350,352,113.12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土地使用权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18,327,839,498.49</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18,828,156,241.17</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海域使用权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1,567,012,318.98</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1,483,055,831.98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职工住宅使用权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4,068,690.44</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3,810,693.43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采矿权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12,081,454.59</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2,088,201.88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专利权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11,963.71</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791" w:type="dxa"/>
            <w:noWrap w:val="0"/>
            <w:vAlign w:val="center"/>
          </w:tcPr>
          <w:p>
            <w:pPr>
              <w:spacing w:line="240" w:lineRule="auto"/>
              <w:jc w:val="right"/>
              <w:rPr>
                <w:rFonts w:hint="default" w:ascii="宋体" w:hAnsi="宋体" w:eastAsia="宋体" w:cs="Times New Roman"/>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商标权</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11,275.00</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791" w:type="dxa"/>
            <w:noWrap w:val="0"/>
            <w:vAlign w:val="center"/>
          </w:tcPr>
          <w:p>
            <w:pPr>
              <w:spacing w:line="240" w:lineRule="auto"/>
              <w:jc w:val="right"/>
              <w:rPr>
                <w:rFonts w:hint="default" w:ascii="宋体" w:hAnsi="宋体" w:eastAsia="宋体" w:cs="Times New Roman"/>
                <w:sz w:val="16"/>
                <w:szCs w:val="16"/>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1282" w:type="pct"/>
            <w:noWrap w:val="0"/>
            <w:vAlign w:val="center"/>
          </w:tcPr>
          <w:p>
            <w:pPr>
              <w:ind w:firstLine="600" w:firstLineChars="300"/>
              <w:rPr>
                <w:rFonts w:hint="eastAsia" w:ascii="宋体" w:hAnsi="宋体" w:eastAsia="仿宋_GB2312" w:cs="Times New Roman"/>
                <w:sz w:val="20"/>
                <w:szCs w:val="20"/>
                <w:lang w:val="en-US" w:eastAsia="zh-CN"/>
              </w:rPr>
            </w:pPr>
            <w:r>
              <w:rPr>
                <w:rFonts w:hint="eastAsia" w:ascii="宋体" w:hAnsi="宋体" w:eastAsia="仿宋_GB2312" w:cs="Times New Roman"/>
                <w:sz w:val="20"/>
                <w:szCs w:val="20"/>
                <w:lang w:val="en-US" w:eastAsia="zh-CN"/>
              </w:rPr>
              <w:t>其他</w:t>
            </w:r>
          </w:p>
        </w:tc>
        <w:tc>
          <w:tcPr>
            <w:tcW w:w="169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5,930,264.47</w:t>
            </w:r>
          </w:p>
        </w:tc>
        <w:tc>
          <w:tcPr>
            <w:tcW w:w="172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665"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w:t>
            </w:r>
          </w:p>
        </w:tc>
        <w:tc>
          <w:tcPr>
            <w:tcW w:w="1791" w:type="dxa"/>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6,571,635.71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（6）短期借款</w:t>
      </w:r>
    </w:p>
    <w:tbl>
      <w:tblPr>
        <w:tblStyle w:val="11"/>
        <w:tblW w:w="0" w:type="auto"/>
        <w:tblInd w:w="0"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13" w:type="dxa"/>
          <w:bottom w:w="0" w:type="dxa"/>
          <w:right w:w="113" w:type="dxa"/>
        </w:tblCellMar>
      </w:tblPr>
      <w:tblGrid>
        <w:gridCol w:w="3174"/>
        <w:gridCol w:w="2892"/>
        <w:gridCol w:w="2981"/>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blHeader/>
        </w:trPr>
        <w:tc>
          <w:tcPr>
            <w:tcW w:w="3174" w:type="dxa"/>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借款类别</w:t>
            </w:r>
          </w:p>
        </w:tc>
        <w:tc>
          <w:tcPr>
            <w:tcW w:w="2892" w:type="dxa"/>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年末余额</w:t>
            </w:r>
          </w:p>
        </w:tc>
        <w:tc>
          <w:tcPr>
            <w:tcW w:w="2981" w:type="dxa"/>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年初余额</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3174"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质押借款</w:t>
            </w:r>
          </w:p>
        </w:tc>
        <w:tc>
          <w:tcPr>
            <w:tcW w:w="2892" w:type="dxa"/>
            <w:noWrap w:val="0"/>
            <w:vAlign w:val="center"/>
          </w:tcPr>
          <w:p>
            <w:pPr>
              <w:spacing w:line="240" w:lineRule="auto"/>
              <w:jc w:val="right"/>
              <w:rPr>
                <w:rFonts w:hint="default" w:ascii="宋体" w:hAnsi="宋体" w:cs="Times New Roman"/>
                <w:szCs w:val="22"/>
              </w:rPr>
            </w:pPr>
          </w:p>
        </w:tc>
        <w:tc>
          <w:tcPr>
            <w:tcW w:w="2981"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35,040,638.89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3174"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抵押借款</w:t>
            </w:r>
          </w:p>
        </w:tc>
        <w:tc>
          <w:tcPr>
            <w:tcW w:w="2892"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411,110,451.41</w:t>
            </w:r>
          </w:p>
        </w:tc>
        <w:tc>
          <w:tcPr>
            <w:tcW w:w="2981" w:type="dxa"/>
            <w:noWrap w:val="0"/>
            <w:vAlign w:val="center"/>
          </w:tcPr>
          <w:p>
            <w:pPr>
              <w:spacing w:line="240" w:lineRule="auto"/>
              <w:jc w:val="right"/>
              <w:rPr>
                <w:rFonts w:hint="default" w:ascii="宋体" w:hAnsi="宋体"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3174"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保证借款</w:t>
            </w:r>
          </w:p>
        </w:tc>
        <w:tc>
          <w:tcPr>
            <w:tcW w:w="2892"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206,356,620.00</w:t>
            </w:r>
          </w:p>
        </w:tc>
        <w:tc>
          <w:tcPr>
            <w:tcW w:w="2981"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854,349,196.20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3174"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信用借款</w:t>
            </w:r>
          </w:p>
        </w:tc>
        <w:tc>
          <w:tcPr>
            <w:tcW w:w="2892"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16,351,345,572.13</w:t>
            </w:r>
          </w:p>
        </w:tc>
        <w:tc>
          <w:tcPr>
            <w:tcW w:w="2981"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14,297,985,315.40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3174" w:type="dxa"/>
            <w:noWrap w:val="0"/>
            <w:vAlign w:val="center"/>
          </w:tcPr>
          <w:p>
            <w:pPr>
              <w:spacing w:line="240" w:lineRule="auto"/>
              <w:jc w:val="center"/>
              <w:rPr>
                <w:rFonts w:hint="eastAsia" w:ascii="宋体" w:hAnsi="宋体"/>
                <w:b/>
                <w:szCs w:val="22"/>
              </w:rPr>
            </w:pPr>
            <w:r>
              <w:rPr>
                <w:rFonts w:hint="eastAsia" w:ascii="宋体" w:hAnsi="宋体" w:eastAsia="仿宋_GB2312" w:cs="Times New Roman"/>
                <w:b/>
                <w:bCs/>
                <w:szCs w:val="22"/>
              </w:rPr>
              <w:t>合</w:t>
            </w:r>
            <w:r>
              <w:rPr>
                <w:rFonts w:hint="eastAsia" w:ascii="宋体" w:hAnsi="宋体" w:eastAsia="仿宋_GB2312" w:cs="Times New Roman"/>
                <w:b/>
                <w:bCs/>
                <w:szCs w:val="22"/>
                <w:lang w:val="en-US" w:eastAsia="zh-CN"/>
              </w:rPr>
              <w:t xml:space="preserve">  </w:t>
            </w:r>
            <w:r>
              <w:rPr>
                <w:rFonts w:hint="eastAsia" w:ascii="宋体" w:hAnsi="宋体" w:eastAsia="仿宋_GB2312" w:cs="Times New Roman"/>
                <w:b/>
                <w:bCs/>
                <w:szCs w:val="22"/>
              </w:rPr>
              <w:t>计</w:t>
            </w:r>
          </w:p>
        </w:tc>
        <w:tc>
          <w:tcPr>
            <w:tcW w:w="2892" w:type="dxa"/>
            <w:noWrap w:val="0"/>
            <w:vAlign w:val="center"/>
          </w:tcPr>
          <w:p>
            <w:pPr>
              <w:spacing w:line="240" w:lineRule="auto"/>
              <w:jc w:val="right"/>
              <w:rPr>
                <w:rFonts w:hint="default" w:ascii="宋体" w:hAnsi="宋体" w:eastAsia="宋体" w:cs="Times New Roman"/>
                <w:b/>
                <w:bCs/>
                <w:szCs w:val="21"/>
              </w:rPr>
            </w:pPr>
            <w:r>
              <w:rPr>
                <w:rFonts w:hint="default" w:ascii="宋体" w:hAnsi="宋体" w:eastAsia="宋体" w:cs="Times New Roman"/>
                <w:b/>
                <w:bCs/>
                <w:szCs w:val="21"/>
              </w:rPr>
              <w:t>16,968,812,643.54</w:t>
            </w:r>
          </w:p>
        </w:tc>
        <w:tc>
          <w:tcPr>
            <w:tcW w:w="2981" w:type="dxa"/>
            <w:noWrap w:val="0"/>
            <w:vAlign w:val="center"/>
          </w:tcPr>
          <w:p>
            <w:pPr>
              <w:spacing w:line="240" w:lineRule="auto"/>
              <w:jc w:val="right"/>
              <w:rPr>
                <w:rFonts w:hint="default" w:ascii="宋体" w:hAnsi="宋体" w:eastAsia="宋体" w:cs="Times New Roman"/>
                <w:b/>
                <w:bCs/>
                <w:szCs w:val="21"/>
              </w:rPr>
            </w:pPr>
            <w:r>
              <w:rPr>
                <w:rFonts w:hint="default" w:ascii="宋体" w:hAnsi="宋体" w:eastAsia="宋体" w:cs="Times New Roman"/>
                <w:b/>
                <w:bCs/>
                <w:szCs w:val="21"/>
              </w:rPr>
              <w:t>15,187,375,150.49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（7）应付账款</w:t>
      </w:r>
    </w:p>
    <w:tbl>
      <w:tblPr>
        <w:tblStyle w:val="11"/>
        <w:tblW w:w="8992"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29"/>
        <w:gridCol w:w="2910"/>
        <w:gridCol w:w="295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3129" w:type="dxa"/>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账龄</w:t>
            </w:r>
          </w:p>
        </w:tc>
        <w:tc>
          <w:tcPr>
            <w:tcW w:w="2910" w:type="dxa"/>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年末余额</w:t>
            </w:r>
          </w:p>
        </w:tc>
        <w:tc>
          <w:tcPr>
            <w:tcW w:w="2953" w:type="dxa"/>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年初余额</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3129"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1年以内（含1年）</w:t>
            </w:r>
          </w:p>
        </w:tc>
        <w:tc>
          <w:tcPr>
            <w:tcW w:w="2910"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13,306,403,763.72</w:t>
            </w:r>
          </w:p>
        </w:tc>
        <w:tc>
          <w:tcPr>
            <w:tcW w:w="2953"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8,710,157,946.12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1" w:hRule="atLeast"/>
          <w:tblHeader/>
        </w:trPr>
        <w:tc>
          <w:tcPr>
            <w:tcW w:w="3129"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1-2年</w:t>
            </w:r>
          </w:p>
        </w:tc>
        <w:tc>
          <w:tcPr>
            <w:tcW w:w="2910"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1,291,522,137.78</w:t>
            </w:r>
          </w:p>
        </w:tc>
        <w:tc>
          <w:tcPr>
            <w:tcW w:w="2953"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2,113,855,053.10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3129"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2-3年</w:t>
            </w:r>
          </w:p>
        </w:tc>
        <w:tc>
          <w:tcPr>
            <w:tcW w:w="2910"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381,115,529.81</w:t>
            </w:r>
          </w:p>
        </w:tc>
        <w:tc>
          <w:tcPr>
            <w:tcW w:w="2953"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642,300,762.15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3129" w:type="dxa"/>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3年以上</w:t>
            </w:r>
          </w:p>
        </w:tc>
        <w:tc>
          <w:tcPr>
            <w:tcW w:w="2910"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935,465,480.91</w:t>
            </w:r>
          </w:p>
        </w:tc>
        <w:tc>
          <w:tcPr>
            <w:tcW w:w="2953"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688,163,349.62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3129" w:type="dxa"/>
            <w:noWrap w:val="0"/>
            <w:vAlign w:val="center"/>
          </w:tcPr>
          <w:p>
            <w:pPr>
              <w:jc w:val="center"/>
              <w:rPr>
                <w:rFonts w:hint="eastAsia" w:ascii="宋体" w:hAnsi="宋体" w:eastAsia="仿宋_GB2312" w:cs="Times New Roman"/>
                <w:szCs w:val="22"/>
              </w:rPr>
            </w:pPr>
            <w:r>
              <w:rPr>
                <w:rFonts w:hint="eastAsia" w:ascii="宋体" w:hAnsi="宋体" w:eastAsia="仿宋_GB2312" w:cs="Times New Roman"/>
                <w:b/>
                <w:bCs/>
                <w:szCs w:val="22"/>
              </w:rPr>
              <w:t>合</w:t>
            </w:r>
            <w:r>
              <w:rPr>
                <w:rFonts w:hint="eastAsia" w:ascii="宋体" w:hAnsi="宋体" w:eastAsia="仿宋_GB2312" w:cs="Times New Roman"/>
                <w:b/>
                <w:bCs/>
                <w:szCs w:val="22"/>
                <w:lang w:val="en-US" w:eastAsia="zh-CN"/>
              </w:rPr>
              <w:t xml:space="preserve">  </w:t>
            </w:r>
            <w:r>
              <w:rPr>
                <w:rFonts w:hint="eastAsia" w:ascii="宋体" w:hAnsi="宋体" w:eastAsia="仿宋_GB2312" w:cs="Times New Roman"/>
                <w:b/>
                <w:bCs/>
                <w:szCs w:val="22"/>
              </w:rPr>
              <w:t>计</w:t>
            </w:r>
          </w:p>
        </w:tc>
        <w:tc>
          <w:tcPr>
            <w:tcW w:w="2910" w:type="dxa"/>
            <w:noWrap w:val="0"/>
            <w:vAlign w:val="center"/>
          </w:tcPr>
          <w:p>
            <w:pPr>
              <w:spacing w:line="240" w:lineRule="auto"/>
              <w:jc w:val="right"/>
              <w:rPr>
                <w:rFonts w:hint="default" w:ascii="宋体" w:hAnsi="宋体" w:eastAsia="宋体" w:cs="Times New Roman"/>
                <w:b/>
                <w:bCs/>
                <w:szCs w:val="21"/>
              </w:rPr>
            </w:pPr>
            <w:r>
              <w:rPr>
                <w:rFonts w:hint="default" w:ascii="宋体" w:hAnsi="宋体" w:eastAsia="宋体" w:cs="Times New Roman"/>
                <w:b/>
                <w:bCs/>
                <w:szCs w:val="21"/>
              </w:rPr>
              <w:t>15,914,506,912.22</w:t>
            </w:r>
          </w:p>
        </w:tc>
        <w:tc>
          <w:tcPr>
            <w:tcW w:w="2953" w:type="dxa"/>
            <w:noWrap w:val="0"/>
            <w:vAlign w:val="center"/>
          </w:tcPr>
          <w:p>
            <w:pPr>
              <w:spacing w:line="240" w:lineRule="auto"/>
              <w:jc w:val="right"/>
              <w:rPr>
                <w:rFonts w:hint="default" w:ascii="宋体" w:hAnsi="宋体" w:eastAsia="宋体" w:cs="Times New Roman"/>
                <w:b/>
                <w:bCs/>
                <w:szCs w:val="21"/>
              </w:rPr>
            </w:pPr>
            <w:r>
              <w:rPr>
                <w:rFonts w:hint="default" w:ascii="宋体" w:hAnsi="宋体" w:eastAsia="宋体" w:cs="Times New Roman"/>
                <w:b/>
                <w:bCs/>
                <w:szCs w:val="21"/>
              </w:rPr>
              <w:t>12,154,477,110.99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（8）长期借款</w:t>
      </w:r>
    </w:p>
    <w:tbl>
      <w:tblPr>
        <w:tblStyle w:val="11"/>
        <w:tblW w:w="5000" w:type="pct"/>
        <w:tblInd w:w="0" w:type="dxa"/>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13" w:type="dxa"/>
          <w:bottom w:w="0" w:type="dxa"/>
          <w:right w:w="113" w:type="dxa"/>
        </w:tblCellMar>
      </w:tblPr>
      <w:tblGrid>
        <w:gridCol w:w="2733"/>
        <w:gridCol w:w="2355"/>
        <w:gridCol w:w="2265"/>
        <w:gridCol w:w="1718"/>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PrEx>
        <w:trPr>
          <w:trHeight w:val="397" w:hRule="atLeast"/>
          <w:tblHeader/>
        </w:trPr>
        <w:tc>
          <w:tcPr>
            <w:tcW w:w="1506" w:type="pct"/>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借款类别</w:t>
            </w:r>
          </w:p>
        </w:tc>
        <w:tc>
          <w:tcPr>
            <w:tcW w:w="1298" w:type="pct"/>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年末余额</w:t>
            </w:r>
          </w:p>
        </w:tc>
        <w:tc>
          <w:tcPr>
            <w:tcW w:w="1248" w:type="pct"/>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年初余额</w:t>
            </w:r>
          </w:p>
        </w:tc>
        <w:tc>
          <w:tcPr>
            <w:tcW w:w="946" w:type="pct"/>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年末利率区间（%）</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506"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质押借款</w:t>
            </w:r>
          </w:p>
        </w:tc>
        <w:tc>
          <w:tcPr>
            <w:tcW w:w="2355"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334,890,909.13</w:t>
            </w:r>
          </w:p>
        </w:tc>
        <w:tc>
          <w:tcPr>
            <w:tcW w:w="2265"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347,519,000.00</w:t>
            </w:r>
          </w:p>
        </w:tc>
        <w:tc>
          <w:tcPr>
            <w:tcW w:w="1718"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3.5-4.5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506"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抵押借款</w:t>
            </w:r>
          </w:p>
        </w:tc>
        <w:tc>
          <w:tcPr>
            <w:tcW w:w="2355"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3,677,215,556.55</w:t>
            </w:r>
          </w:p>
        </w:tc>
        <w:tc>
          <w:tcPr>
            <w:tcW w:w="2265"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3,467,341,326.62</w:t>
            </w:r>
          </w:p>
        </w:tc>
        <w:tc>
          <w:tcPr>
            <w:tcW w:w="1718"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3.7-4.9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506"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保证借款</w:t>
            </w:r>
          </w:p>
        </w:tc>
        <w:tc>
          <w:tcPr>
            <w:tcW w:w="2355"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4,512,377,704.74</w:t>
            </w:r>
          </w:p>
        </w:tc>
        <w:tc>
          <w:tcPr>
            <w:tcW w:w="2265"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5,409,036,485.40</w:t>
            </w:r>
          </w:p>
        </w:tc>
        <w:tc>
          <w:tcPr>
            <w:tcW w:w="1718"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3.5-6.6</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506"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信用借款</w:t>
            </w:r>
          </w:p>
        </w:tc>
        <w:tc>
          <w:tcPr>
            <w:tcW w:w="2355"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28,828,723,454.80</w:t>
            </w:r>
          </w:p>
        </w:tc>
        <w:tc>
          <w:tcPr>
            <w:tcW w:w="2265"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20,103,563,539.30</w:t>
            </w:r>
          </w:p>
        </w:tc>
        <w:tc>
          <w:tcPr>
            <w:tcW w:w="1718" w:type="dxa"/>
            <w:noWrap w:val="0"/>
            <w:vAlign w:val="center"/>
          </w:tcPr>
          <w:p>
            <w:pPr>
              <w:spacing w:line="240" w:lineRule="auto"/>
              <w:jc w:val="right"/>
              <w:rPr>
                <w:rFonts w:hint="default" w:ascii="宋体" w:hAnsi="宋体" w:eastAsia="宋体" w:cs="Times New Roman"/>
                <w:szCs w:val="21"/>
              </w:rPr>
            </w:pPr>
            <w:r>
              <w:rPr>
                <w:rFonts w:hint="default" w:ascii="宋体" w:hAnsi="宋体" w:eastAsia="宋体" w:cs="Times New Roman"/>
                <w:szCs w:val="21"/>
              </w:rPr>
              <w:t>3.25-6.18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13" w:type="dxa"/>
            <w:bottom w:w="0" w:type="dxa"/>
            <w:right w:w="113" w:type="dxa"/>
          </w:tblCellMar>
        </w:tblPrEx>
        <w:trPr>
          <w:trHeight w:val="397" w:hRule="atLeast"/>
        </w:trPr>
        <w:tc>
          <w:tcPr>
            <w:tcW w:w="1506" w:type="pct"/>
            <w:noWrap w:val="0"/>
            <w:vAlign w:val="center"/>
          </w:tcPr>
          <w:p>
            <w:pPr>
              <w:spacing w:line="240" w:lineRule="auto"/>
              <w:jc w:val="center"/>
              <w:rPr>
                <w:rFonts w:hint="eastAsia" w:ascii="宋体" w:hAnsi="宋体"/>
                <w:b/>
                <w:szCs w:val="22"/>
              </w:rPr>
            </w:pPr>
            <w:r>
              <w:rPr>
                <w:rFonts w:hint="eastAsia" w:ascii="宋体" w:hAnsi="宋体" w:eastAsia="仿宋_GB2312" w:cs="Times New Roman"/>
                <w:b/>
                <w:bCs/>
                <w:szCs w:val="22"/>
              </w:rPr>
              <w:t>合</w:t>
            </w:r>
            <w:r>
              <w:rPr>
                <w:rFonts w:hint="eastAsia" w:ascii="宋体" w:hAnsi="宋体" w:eastAsia="仿宋_GB2312" w:cs="Times New Roman"/>
                <w:b/>
                <w:bCs/>
                <w:szCs w:val="22"/>
                <w:lang w:val="en-US" w:eastAsia="zh-CN"/>
              </w:rPr>
              <w:t xml:space="preserve">  </w:t>
            </w:r>
            <w:r>
              <w:rPr>
                <w:rFonts w:hint="eastAsia" w:ascii="宋体" w:hAnsi="宋体" w:eastAsia="仿宋_GB2312" w:cs="Times New Roman"/>
                <w:b/>
                <w:bCs/>
                <w:szCs w:val="22"/>
              </w:rPr>
              <w:t>计</w:t>
            </w:r>
          </w:p>
        </w:tc>
        <w:tc>
          <w:tcPr>
            <w:tcW w:w="2355" w:type="dxa"/>
            <w:noWrap w:val="0"/>
            <w:vAlign w:val="center"/>
          </w:tcPr>
          <w:p>
            <w:pPr>
              <w:spacing w:line="240" w:lineRule="auto"/>
              <w:jc w:val="right"/>
              <w:rPr>
                <w:rFonts w:hint="default" w:ascii="宋体" w:hAnsi="宋体" w:eastAsia="宋体" w:cs="Times New Roman"/>
                <w:b/>
                <w:bCs/>
                <w:szCs w:val="21"/>
              </w:rPr>
            </w:pPr>
            <w:r>
              <w:rPr>
                <w:rFonts w:hint="default" w:ascii="宋体" w:hAnsi="宋体" w:eastAsia="宋体" w:cs="Times New Roman"/>
                <w:b/>
                <w:bCs/>
                <w:szCs w:val="21"/>
              </w:rPr>
              <w:t>37,353,207,625.22</w:t>
            </w:r>
          </w:p>
        </w:tc>
        <w:tc>
          <w:tcPr>
            <w:tcW w:w="2265" w:type="dxa"/>
            <w:noWrap w:val="0"/>
            <w:vAlign w:val="center"/>
          </w:tcPr>
          <w:p>
            <w:pPr>
              <w:spacing w:line="240" w:lineRule="auto"/>
              <w:jc w:val="right"/>
              <w:rPr>
                <w:rFonts w:hint="default" w:ascii="宋体" w:hAnsi="宋体" w:eastAsia="宋体" w:cs="Times New Roman"/>
                <w:b/>
                <w:bCs/>
                <w:szCs w:val="21"/>
              </w:rPr>
            </w:pPr>
            <w:r>
              <w:rPr>
                <w:rFonts w:hint="default" w:ascii="宋体" w:hAnsi="宋体" w:eastAsia="宋体" w:cs="Times New Roman"/>
                <w:b/>
                <w:bCs/>
                <w:szCs w:val="21"/>
              </w:rPr>
              <w:t>29,327,460,351.32</w:t>
            </w:r>
          </w:p>
        </w:tc>
        <w:tc>
          <w:tcPr>
            <w:tcW w:w="1718" w:type="dxa"/>
            <w:noWrap w:val="0"/>
            <w:vAlign w:val="center"/>
          </w:tcPr>
          <w:p>
            <w:pPr>
              <w:spacing w:line="240" w:lineRule="auto"/>
              <w:jc w:val="right"/>
              <w:rPr>
                <w:rFonts w:hint="eastAsia" w:ascii="宋体" w:hAnsi="宋体" w:eastAsia="宋体" w:cs="Times New Roman"/>
                <w:szCs w:val="21"/>
              </w:rPr>
            </w:pPr>
            <w:r>
              <w:rPr>
                <w:rFonts w:hint="eastAsia" w:ascii="宋体" w:hAnsi="宋体" w:eastAsia="宋体" w:cs="Times New Roman"/>
                <w:szCs w:val="21"/>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（9）应付债券</w:t>
      </w:r>
    </w:p>
    <w:tbl>
      <w:tblPr>
        <w:tblStyle w:val="11"/>
        <w:tblW w:w="5252" w:type="pct"/>
        <w:jc w:val="center"/>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autofit"/>
        <w:tblCellMar>
          <w:top w:w="0" w:type="dxa"/>
          <w:left w:w="0" w:type="dxa"/>
          <w:bottom w:w="0" w:type="dxa"/>
          <w:right w:w="57" w:type="dxa"/>
        </w:tblCellMar>
      </w:tblPr>
      <w:tblGrid>
        <w:gridCol w:w="5351"/>
        <w:gridCol w:w="1987"/>
        <w:gridCol w:w="2013"/>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tblHeader/>
          <w:jc w:val="center"/>
        </w:trPr>
        <w:tc>
          <w:tcPr>
            <w:tcW w:w="2861" w:type="pct"/>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项目</w:t>
            </w:r>
          </w:p>
        </w:tc>
        <w:tc>
          <w:tcPr>
            <w:tcW w:w="1062" w:type="pct"/>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年末余额</w:t>
            </w:r>
          </w:p>
        </w:tc>
        <w:tc>
          <w:tcPr>
            <w:tcW w:w="1076" w:type="pct"/>
            <w:noWrap w:val="0"/>
            <w:vAlign w:val="center"/>
          </w:tcPr>
          <w:p>
            <w:pPr>
              <w:jc w:val="center"/>
              <w:rPr>
                <w:rFonts w:hint="eastAsia" w:ascii="宋体" w:hAnsi="宋体" w:eastAsia="仿宋_GB2312" w:cs="Times New Roman"/>
                <w:b/>
                <w:bCs/>
                <w:szCs w:val="21"/>
              </w:rPr>
            </w:pPr>
            <w:r>
              <w:rPr>
                <w:rFonts w:hint="eastAsia" w:ascii="宋体" w:hAnsi="宋体" w:eastAsia="仿宋_GB2312" w:cs="Times New Roman"/>
                <w:b/>
                <w:bCs/>
                <w:szCs w:val="21"/>
              </w:rPr>
              <w:t>年初余额</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日照港集团有限公司2019年第一期中期票据</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1,826,225,889.64</w:t>
            </w: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1,924,449,887.45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日照港集团有限公司2020年第二期私募债券</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1,025,886,202.88</w:t>
            </w: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1,028,470,877.12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日照港集团有限公司2020年第三期私募债券</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1,018,447,759.56</w:t>
            </w: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1,020,326,020.44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山东省港口集团有限公司2022年度第一期中期票据</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1,014,431,111.11</w:t>
            </w:r>
          </w:p>
        </w:tc>
        <w:tc>
          <w:tcPr>
            <w:tcW w:w="1076" w:type="pct"/>
            <w:noWrap w:val="0"/>
            <w:vAlign w:val="center"/>
          </w:tcPr>
          <w:p>
            <w:pPr>
              <w:spacing w:line="240" w:lineRule="auto"/>
              <w:jc w:val="right"/>
              <w:rPr>
                <w:rFonts w:hint="eastAsia" w:ascii="宋体" w:hAnsi="宋体"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山东港口日照港集团有限公司2021年第一期中期票据</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1,012,457,110.36</w:t>
            </w: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1,011,088,932.00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山东省港口集团有限公司2022年度第二期中期票据</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1,005,714,444.4</w:t>
            </w:r>
            <w:r>
              <w:rPr>
                <w:rFonts w:hint="eastAsia" w:ascii="宋体" w:hAnsi="宋体" w:eastAsia="宋体" w:cs="Times New Roman"/>
                <w:szCs w:val="21"/>
              </w:rPr>
              <w:t>5</w:t>
            </w:r>
          </w:p>
        </w:tc>
        <w:tc>
          <w:tcPr>
            <w:tcW w:w="1076" w:type="pct"/>
            <w:noWrap w:val="0"/>
            <w:vAlign w:val="center"/>
          </w:tcPr>
          <w:p>
            <w:pPr>
              <w:spacing w:line="240" w:lineRule="auto"/>
              <w:jc w:val="right"/>
              <w:rPr>
                <w:rFonts w:hint="eastAsia" w:ascii="宋体" w:hAnsi="宋体"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2021年第一期山东港口日照港集团有限公司公司债券</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1,003,431,949.00</w:t>
            </w: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1,003,431,945.00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日照港集团有限公司2020年第一期私募债券</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615,469,475.00</w:t>
            </w: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616,954,205.00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山东港口日照港集团有限公司2021年第二期私募债券</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523,070,328.24 </w:t>
            </w: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508,874,998.00 </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山东港口烟台港集团有限公司2022年度第一期中期票据</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515,897,000.00 </w:t>
            </w:r>
          </w:p>
        </w:tc>
        <w:tc>
          <w:tcPr>
            <w:tcW w:w="1076" w:type="pct"/>
            <w:noWrap w:val="0"/>
            <w:vAlign w:val="center"/>
          </w:tcPr>
          <w:p>
            <w:pPr>
              <w:spacing w:line="240" w:lineRule="auto"/>
              <w:jc w:val="right"/>
              <w:rPr>
                <w:rFonts w:hint="eastAsia" w:ascii="宋体" w:hAnsi="宋体"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山东港口烟台港集团有限公司2022年度第三期中期票据</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511,898,000.00 </w:t>
            </w:r>
          </w:p>
        </w:tc>
        <w:tc>
          <w:tcPr>
            <w:tcW w:w="1076" w:type="pct"/>
            <w:noWrap w:val="0"/>
            <w:vAlign w:val="center"/>
          </w:tcPr>
          <w:p>
            <w:pPr>
              <w:spacing w:line="240" w:lineRule="auto"/>
              <w:jc w:val="right"/>
              <w:rPr>
                <w:rFonts w:hint="eastAsia" w:ascii="宋体" w:hAnsi="宋体"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山东港口烟台港集团有限公司2021年度第一期中期票据</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507,558,000.00 </w:t>
            </w: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507,558,000.00 </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山东港口烟台港集团有限公司2021年度第二期中期票据</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507,098,000.00 </w:t>
            </w: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507,098,000.00 </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山东港口日照港集团有限公司2021年第三期私募债券</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506,395,835.00 </w:t>
            </w: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507,155,835.00 </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山东港口烟台港集团有限公司2021年度第三期中期票据</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502,880,000.00 </w:t>
            </w: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502,880,000.00 </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山东省港口集团有限公司2022年度第三期中期票据</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502,586,944.4</w:t>
            </w:r>
            <w:r>
              <w:rPr>
                <w:rFonts w:hint="eastAsia" w:ascii="宋体" w:hAnsi="宋体" w:eastAsia="宋体" w:cs="Times New Roman"/>
                <w:szCs w:val="21"/>
              </w:rPr>
              <w:t>4</w:t>
            </w:r>
            <w:r>
              <w:rPr>
                <w:rFonts w:hint="default" w:ascii="宋体" w:hAnsi="宋体" w:eastAsia="宋体" w:cs="Times New Roman"/>
                <w:szCs w:val="21"/>
              </w:rPr>
              <w:t xml:space="preserve"> </w:t>
            </w:r>
          </w:p>
        </w:tc>
        <w:tc>
          <w:tcPr>
            <w:tcW w:w="1076" w:type="pct"/>
            <w:noWrap w:val="0"/>
            <w:vAlign w:val="center"/>
          </w:tcPr>
          <w:p>
            <w:pPr>
              <w:spacing w:line="240" w:lineRule="auto"/>
              <w:jc w:val="right"/>
              <w:rPr>
                <w:rFonts w:hint="eastAsia" w:ascii="宋体" w:hAnsi="宋体" w:eastAsia="宋体" w:cs="Times New Roman"/>
                <w:szCs w:val="21"/>
              </w:rPr>
            </w:pP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山东港口日照港集团有限公司2021年第一期私募债券</w:t>
            </w:r>
          </w:p>
        </w:tc>
        <w:tc>
          <w:tcPr>
            <w:tcW w:w="1062"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407,853,265.00 </w:t>
            </w: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 xml:space="preserve">408,253,265.00 </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青岛港（集团）有限公司2020年公司债券(第一期)</w:t>
            </w:r>
          </w:p>
        </w:tc>
        <w:tc>
          <w:tcPr>
            <w:tcW w:w="1062" w:type="pct"/>
            <w:noWrap w:val="0"/>
            <w:vAlign w:val="center"/>
          </w:tcPr>
          <w:p>
            <w:pPr>
              <w:spacing w:line="240" w:lineRule="auto"/>
              <w:jc w:val="right"/>
              <w:rPr>
                <w:rFonts w:hint="eastAsia" w:ascii="宋体" w:hAnsi="宋体" w:eastAsia="宋体" w:cs="Times New Roman"/>
                <w:szCs w:val="21"/>
              </w:rPr>
            </w:pP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3,000,000,000.00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日照港集团有限公司2018年第二期中期票据</w:t>
            </w:r>
          </w:p>
        </w:tc>
        <w:tc>
          <w:tcPr>
            <w:tcW w:w="1062" w:type="pct"/>
            <w:noWrap w:val="0"/>
            <w:vAlign w:val="center"/>
          </w:tcPr>
          <w:p>
            <w:pPr>
              <w:spacing w:line="240" w:lineRule="auto"/>
              <w:jc w:val="right"/>
              <w:rPr>
                <w:rFonts w:hint="eastAsia" w:ascii="宋体" w:hAnsi="宋体" w:eastAsia="宋体" w:cs="Times New Roman"/>
                <w:szCs w:val="21"/>
              </w:rPr>
            </w:pP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1,978,053,110.74</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日照港集团有限公司2019年第一期非公开公司债</w:t>
            </w:r>
          </w:p>
        </w:tc>
        <w:tc>
          <w:tcPr>
            <w:tcW w:w="1062" w:type="pct"/>
            <w:noWrap w:val="0"/>
            <w:vAlign w:val="center"/>
          </w:tcPr>
          <w:p>
            <w:pPr>
              <w:spacing w:line="240" w:lineRule="auto"/>
              <w:jc w:val="right"/>
              <w:rPr>
                <w:rFonts w:hint="eastAsia" w:ascii="宋体" w:hAnsi="宋体" w:eastAsia="宋体" w:cs="Times New Roman"/>
                <w:szCs w:val="21"/>
              </w:rPr>
            </w:pP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1,032,383,333.41</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日照港集团有限公司2019年第二期非公开公司债</w:t>
            </w:r>
          </w:p>
        </w:tc>
        <w:tc>
          <w:tcPr>
            <w:tcW w:w="1062" w:type="pct"/>
            <w:noWrap w:val="0"/>
            <w:vAlign w:val="center"/>
          </w:tcPr>
          <w:p>
            <w:pPr>
              <w:spacing w:line="240" w:lineRule="auto"/>
              <w:jc w:val="right"/>
              <w:rPr>
                <w:rFonts w:hint="eastAsia" w:ascii="宋体" w:hAnsi="宋体" w:eastAsia="宋体" w:cs="Times New Roman"/>
                <w:szCs w:val="21"/>
              </w:rPr>
            </w:pP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1,019,383,333.40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日照港股份有限公司2018年第一期公司债</w:t>
            </w:r>
          </w:p>
        </w:tc>
        <w:tc>
          <w:tcPr>
            <w:tcW w:w="1062" w:type="pct"/>
            <w:noWrap w:val="0"/>
            <w:vAlign w:val="center"/>
          </w:tcPr>
          <w:p>
            <w:pPr>
              <w:spacing w:line="240" w:lineRule="auto"/>
              <w:jc w:val="right"/>
              <w:rPr>
                <w:rFonts w:hint="eastAsia" w:ascii="宋体" w:hAnsi="宋体" w:eastAsia="宋体" w:cs="Times New Roman"/>
                <w:szCs w:val="21"/>
              </w:rPr>
            </w:pP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534,830,883.72</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rPr>
                <w:rFonts w:hint="eastAsia" w:ascii="宋体" w:hAnsi="宋体" w:eastAsia="仿宋_GB2312" w:cs="Times New Roman"/>
                <w:szCs w:val="22"/>
              </w:rPr>
            </w:pPr>
            <w:r>
              <w:rPr>
                <w:rFonts w:hint="eastAsia" w:ascii="宋体" w:hAnsi="宋体" w:eastAsia="仿宋_GB2312" w:cs="Times New Roman"/>
                <w:szCs w:val="22"/>
              </w:rPr>
              <w:t>烟台港集团有限公司2018年度第一期中期票据</w:t>
            </w:r>
          </w:p>
        </w:tc>
        <w:tc>
          <w:tcPr>
            <w:tcW w:w="1062" w:type="pct"/>
            <w:noWrap w:val="0"/>
            <w:vAlign w:val="center"/>
          </w:tcPr>
          <w:p>
            <w:pPr>
              <w:spacing w:line="240" w:lineRule="auto"/>
              <w:jc w:val="right"/>
              <w:rPr>
                <w:rFonts w:hint="eastAsia" w:ascii="宋体" w:hAnsi="宋体" w:eastAsia="宋体" w:cs="Times New Roman"/>
                <w:szCs w:val="21"/>
              </w:rPr>
            </w:pPr>
          </w:p>
        </w:tc>
        <w:tc>
          <w:tcPr>
            <w:tcW w:w="1076" w:type="pct"/>
            <w:noWrap w:val="0"/>
            <w:vAlign w:val="center"/>
          </w:tcPr>
          <w:p>
            <w:pPr>
              <w:spacing w:line="240" w:lineRule="auto"/>
              <w:jc w:val="right"/>
              <w:rPr>
                <w:rFonts w:hint="eastAsia" w:ascii="宋体" w:hAnsi="宋体" w:eastAsia="宋体" w:cs="Times New Roman"/>
                <w:szCs w:val="21"/>
              </w:rPr>
            </w:pPr>
            <w:r>
              <w:rPr>
                <w:rFonts w:hint="default" w:ascii="宋体" w:hAnsi="宋体" w:eastAsia="宋体" w:cs="Times New Roman"/>
                <w:szCs w:val="21"/>
              </w:rPr>
              <w:t>517,190,000.00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0" w:type="dxa"/>
            <w:bottom w:w="0" w:type="dxa"/>
            <w:right w:w="57" w:type="dxa"/>
          </w:tblCellMar>
        </w:tblPrEx>
        <w:trPr>
          <w:trHeight w:val="386" w:hRule="atLeast"/>
          <w:jc w:val="center"/>
        </w:trPr>
        <w:tc>
          <w:tcPr>
            <w:tcW w:w="2861" w:type="pct"/>
            <w:noWrap w:val="0"/>
            <w:vAlign w:val="center"/>
          </w:tcPr>
          <w:p>
            <w:pPr>
              <w:spacing w:line="240" w:lineRule="auto"/>
              <w:jc w:val="center"/>
              <w:rPr>
                <w:rFonts w:hint="eastAsia" w:ascii="宋体" w:hAnsi="宋体" w:eastAsia="仿宋_GB2312" w:cs="Times New Roman"/>
                <w:b/>
                <w:bCs/>
                <w:szCs w:val="22"/>
              </w:rPr>
            </w:pPr>
            <w:r>
              <w:rPr>
                <w:rFonts w:hint="eastAsia" w:ascii="宋体" w:hAnsi="宋体" w:eastAsia="仿宋_GB2312" w:cs="Times New Roman"/>
                <w:b/>
                <w:bCs/>
                <w:szCs w:val="22"/>
              </w:rPr>
              <w:t>合计</w:t>
            </w:r>
          </w:p>
        </w:tc>
        <w:tc>
          <w:tcPr>
            <w:tcW w:w="1062" w:type="pct"/>
            <w:noWrap w:val="0"/>
            <w:vAlign w:val="center"/>
          </w:tcPr>
          <w:p>
            <w:pPr>
              <w:spacing w:line="240" w:lineRule="auto"/>
              <w:jc w:val="right"/>
              <w:rPr>
                <w:rFonts w:hint="eastAsia" w:ascii="宋体" w:hAnsi="宋体" w:eastAsia="宋体" w:cs="Times New Roman"/>
                <w:b/>
                <w:bCs/>
                <w:szCs w:val="21"/>
              </w:rPr>
            </w:pPr>
            <w:r>
              <w:rPr>
                <w:rFonts w:hint="default" w:ascii="宋体" w:hAnsi="宋体" w:eastAsia="宋体" w:cs="Times New Roman"/>
                <w:b/>
                <w:bCs/>
                <w:szCs w:val="21"/>
              </w:rPr>
              <w:t>13,007,301,314.68</w:t>
            </w:r>
          </w:p>
        </w:tc>
        <w:tc>
          <w:tcPr>
            <w:tcW w:w="1076" w:type="pct"/>
            <w:noWrap w:val="0"/>
            <w:vAlign w:val="center"/>
          </w:tcPr>
          <w:p>
            <w:pPr>
              <w:spacing w:line="240" w:lineRule="auto"/>
              <w:jc w:val="right"/>
              <w:rPr>
                <w:rFonts w:hint="eastAsia" w:ascii="宋体" w:hAnsi="宋体" w:eastAsia="宋体" w:cs="Times New Roman"/>
                <w:b/>
                <w:bCs/>
                <w:szCs w:val="21"/>
              </w:rPr>
            </w:pPr>
            <w:r>
              <w:rPr>
                <w:rFonts w:hint="default" w:ascii="宋体" w:hAnsi="宋体" w:eastAsia="宋体" w:cs="Times New Roman"/>
                <w:b/>
                <w:bCs/>
                <w:szCs w:val="21"/>
              </w:rPr>
              <w:t>17,628,382,626.28</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sz w:val="32"/>
          <w:szCs w:val="32"/>
          <w:lang w:val="en-US" w:eastAsia="zh-CN"/>
        </w:rPr>
      </w:pPr>
      <w:r>
        <w:rPr>
          <w:rFonts w:hint="eastAsia" w:ascii="宋体" w:hAnsi="宋体" w:eastAsia="仿宋_GB2312" w:cs="仿宋_GB2312"/>
          <w:b w:val="0"/>
          <w:bCs w:val="0"/>
          <w:sz w:val="32"/>
          <w:szCs w:val="32"/>
          <w:lang w:val="en-US" w:eastAsia="zh-CN"/>
        </w:rPr>
        <w:t>（10）实收资本</w:t>
      </w:r>
    </w:p>
    <w:tbl>
      <w:tblPr>
        <w:tblStyle w:val="11"/>
        <w:tblpPr w:leftFromText="180" w:rightFromText="180" w:vertAnchor="text" w:horzAnchor="page" w:tblpXSpec="center" w:tblpY="243"/>
        <w:tblOverlap w:val="never"/>
        <w:tblW w:w="5461" w:type="pct"/>
        <w:jc w:val="center"/>
        <w:tblBorders>
          <w:top w:val="double" w:color="auto" w:sz="4" w:space="0"/>
          <w:left w:val="none" w:color="auto" w:sz="0" w:space="0"/>
          <w:bottom w:val="doub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37"/>
        <w:gridCol w:w="1590"/>
        <w:gridCol w:w="925"/>
        <w:gridCol w:w="1620"/>
        <w:gridCol w:w="1350"/>
        <w:gridCol w:w="1730"/>
        <w:gridCol w:w="945"/>
      </w:tblGrid>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1" w:hRule="atLeast"/>
          <w:tblHeader/>
          <w:jc w:val="center"/>
        </w:trPr>
        <w:tc>
          <w:tcPr>
            <w:tcW w:w="877" w:type="pct"/>
            <w:vMerge w:val="restart"/>
            <w:noWrap w:val="0"/>
            <w:vAlign w:val="center"/>
          </w:tcPr>
          <w:p>
            <w:pPr>
              <w:jc w:val="center"/>
              <w:rPr>
                <w:rFonts w:hint="eastAsia" w:ascii="宋体" w:hAnsi="宋体" w:eastAsia="仿宋_GB2312" w:cs="仿宋_GB2312"/>
                <w:b/>
                <w:bCs/>
                <w:sz w:val="20"/>
                <w:szCs w:val="20"/>
              </w:rPr>
            </w:pPr>
            <w:bookmarkStart w:id="0" w:name="_Hlk99962042"/>
            <w:r>
              <w:rPr>
                <w:rFonts w:hint="eastAsia" w:ascii="宋体" w:hAnsi="宋体" w:eastAsia="仿宋_GB2312" w:cs="仿宋_GB2312"/>
                <w:b/>
                <w:bCs/>
                <w:sz w:val="20"/>
                <w:szCs w:val="20"/>
              </w:rPr>
              <w:t>投资者名称</w:t>
            </w:r>
          </w:p>
        </w:tc>
        <w:tc>
          <w:tcPr>
            <w:tcW w:w="1270" w:type="pct"/>
            <w:gridSpan w:val="2"/>
            <w:noWrap w:val="0"/>
            <w:vAlign w:val="center"/>
          </w:tcPr>
          <w:p>
            <w:pPr>
              <w:jc w:val="center"/>
              <w:rPr>
                <w:rFonts w:hint="eastAsia" w:ascii="宋体" w:hAnsi="宋体" w:eastAsia="仿宋_GB2312" w:cs="仿宋_GB2312"/>
                <w:b/>
                <w:bCs/>
                <w:sz w:val="20"/>
                <w:szCs w:val="20"/>
              </w:rPr>
            </w:pPr>
            <w:r>
              <w:rPr>
                <w:rFonts w:hint="eastAsia" w:ascii="宋体" w:hAnsi="宋体" w:eastAsia="仿宋_GB2312" w:cs="仿宋_GB2312"/>
                <w:b/>
                <w:bCs/>
                <w:sz w:val="20"/>
                <w:szCs w:val="20"/>
              </w:rPr>
              <w:t>年初余额</w:t>
            </w:r>
          </w:p>
        </w:tc>
        <w:tc>
          <w:tcPr>
            <w:tcW w:w="818" w:type="pct"/>
            <w:vMerge w:val="restart"/>
            <w:noWrap w:val="0"/>
            <w:vAlign w:val="center"/>
          </w:tcPr>
          <w:p>
            <w:pPr>
              <w:jc w:val="center"/>
              <w:rPr>
                <w:rFonts w:hint="eastAsia" w:ascii="宋体" w:hAnsi="宋体" w:eastAsia="仿宋_GB2312" w:cs="仿宋_GB2312"/>
                <w:b/>
                <w:bCs/>
                <w:sz w:val="20"/>
                <w:szCs w:val="20"/>
              </w:rPr>
            </w:pPr>
            <w:r>
              <w:rPr>
                <w:rFonts w:hint="eastAsia" w:ascii="宋体" w:hAnsi="宋体" w:eastAsia="仿宋_GB2312" w:cs="仿宋_GB2312"/>
                <w:b/>
                <w:bCs/>
                <w:sz w:val="20"/>
                <w:szCs w:val="20"/>
              </w:rPr>
              <w:t>本年</w:t>
            </w:r>
          </w:p>
          <w:p>
            <w:pPr>
              <w:jc w:val="center"/>
              <w:rPr>
                <w:rFonts w:hint="eastAsia" w:ascii="宋体" w:hAnsi="宋体" w:eastAsia="仿宋_GB2312" w:cs="仿宋_GB2312"/>
                <w:b/>
                <w:bCs/>
                <w:sz w:val="20"/>
                <w:szCs w:val="20"/>
              </w:rPr>
            </w:pPr>
            <w:r>
              <w:rPr>
                <w:rFonts w:hint="eastAsia" w:ascii="宋体" w:hAnsi="宋体" w:eastAsia="仿宋_GB2312" w:cs="仿宋_GB2312"/>
                <w:b/>
                <w:bCs/>
                <w:sz w:val="20"/>
                <w:szCs w:val="20"/>
              </w:rPr>
              <w:t>增加</w:t>
            </w:r>
          </w:p>
        </w:tc>
        <w:tc>
          <w:tcPr>
            <w:tcW w:w="682" w:type="pct"/>
            <w:vMerge w:val="restart"/>
            <w:noWrap w:val="0"/>
            <w:vAlign w:val="center"/>
          </w:tcPr>
          <w:p>
            <w:pPr>
              <w:jc w:val="center"/>
              <w:rPr>
                <w:rFonts w:hint="eastAsia" w:ascii="宋体" w:hAnsi="宋体" w:eastAsia="仿宋_GB2312" w:cs="仿宋_GB2312"/>
                <w:b/>
                <w:bCs/>
                <w:sz w:val="20"/>
                <w:szCs w:val="20"/>
              </w:rPr>
            </w:pPr>
            <w:r>
              <w:rPr>
                <w:rFonts w:hint="eastAsia" w:ascii="宋体" w:hAnsi="宋体" w:eastAsia="仿宋_GB2312" w:cs="仿宋_GB2312"/>
                <w:b/>
                <w:bCs/>
                <w:sz w:val="20"/>
                <w:szCs w:val="20"/>
              </w:rPr>
              <w:t>本年</w:t>
            </w:r>
          </w:p>
          <w:p>
            <w:pPr>
              <w:jc w:val="center"/>
              <w:rPr>
                <w:rFonts w:hint="eastAsia" w:ascii="宋体" w:hAnsi="宋体" w:eastAsia="仿宋_GB2312" w:cs="仿宋_GB2312"/>
                <w:b/>
                <w:bCs/>
                <w:sz w:val="20"/>
                <w:szCs w:val="20"/>
              </w:rPr>
            </w:pPr>
            <w:r>
              <w:rPr>
                <w:rFonts w:hint="eastAsia" w:ascii="宋体" w:hAnsi="宋体" w:eastAsia="仿宋_GB2312" w:cs="仿宋_GB2312"/>
                <w:b/>
                <w:bCs/>
                <w:sz w:val="20"/>
                <w:szCs w:val="20"/>
              </w:rPr>
              <w:t>减少</w:t>
            </w:r>
          </w:p>
        </w:tc>
        <w:tc>
          <w:tcPr>
            <w:tcW w:w="1351" w:type="pct"/>
            <w:gridSpan w:val="2"/>
            <w:noWrap w:val="0"/>
            <w:vAlign w:val="center"/>
          </w:tcPr>
          <w:p>
            <w:pPr>
              <w:jc w:val="center"/>
              <w:rPr>
                <w:rFonts w:hint="eastAsia" w:ascii="宋体" w:hAnsi="宋体" w:eastAsia="仿宋_GB2312" w:cs="仿宋_GB2312"/>
                <w:b/>
                <w:bCs/>
                <w:sz w:val="20"/>
                <w:szCs w:val="20"/>
              </w:rPr>
            </w:pPr>
            <w:r>
              <w:rPr>
                <w:rFonts w:hint="eastAsia" w:ascii="宋体" w:hAnsi="宋体" w:eastAsia="仿宋_GB2312" w:cs="仿宋_GB2312"/>
                <w:b/>
                <w:bCs/>
                <w:sz w:val="20"/>
                <w:szCs w:val="20"/>
              </w:rPr>
              <w:t>年末余额</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45" w:hRule="atLeast"/>
          <w:tblHeader/>
          <w:jc w:val="center"/>
        </w:trPr>
        <w:tc>
          <w:tcPr>
            <w:tcW w:w="877" w:type="pct"/>
            <w:vMerge w:val="continue"/>
            <w:noWrap w:val="0"/>
            <w:vAlign w:val="center"/>
          </w:tcPr>
          <w:p>
            <w:pPr>
              <w:spacing w:line="240" w:lineRule="auto"/>
              <w:jc w:val="both"/>
              <w:rPr>
                <w:rFonts w:hint="eastAsia" w:ascii="宋体" w:hAnsi="宋体" w:eastAsia="仿宋_GB2312" w:cs="仿宋_GB2312"/>
                <w:b/>
                <w:sz w:val="20"/>
                <w:szCs w:val="21"/>
              </w:rPr>
            </w:pPr>
          </w:p>
        </w:tc>
        <w:tc>
          <w:tcPr>
            <w:tcW w:w="803" w:type="pct"/>
            <w:noWrap w:val="0"/>
            <w:vAlign w:val="center"/>
          </w:tcPr>
          <w:p>
            <w:pPr>
              <w:spacing w:line="240" w:lineRule="auto"/>
              <w:jc w:val="center"/>
              <w:rPr>
                <w:rFonts w:hint="eastAsia" w:ascii="宋体" w:hAnsi="宋体" w:eastAsia="仿宋_GB2312" w:cs="仿宋_GB2312"/>
                <w:b/>
                <w:sz w:val="20"/>
                <w:szCs w:val="21"/>
              </w:rPr>
            </w:pPr>
            <w:r>
              <w:rPr>
                <w:rFonts w:hint="eastAsia" w:ascii="宋体" w:hAnsi="宋体" w:eastAsia="仿宋_GB2312" w:cs="仿宋_GB2312"/>
                <w:b/>
                <w:sz w:val="20"/>
                <w:szCs w:val="21"/>
              </w:rPr>
              <w:t>投资金额</w:t>
            </w:r>
          </w:p>
        </w:tc>
        <w:tc>
          <w:tcPr>
            <w:tcW w:w="467" w:type="pct"/>
            <w:noWrap w:val="0"/>
            <w:vAlign w:val="center"/>
          </w:tcPr>
          <w:p>
            <w:pPr>
              <w:spacing w:line="240" w:lineRule="auto"/>
              <w:jc w:val="center"/>
              <w:rPr>
                <w:rFonts w:hint="eastAsia" w:ascii="宋体" w:hAnsi="宋体" w:eastAsia="仿宋_GB2312" w:cs="仿宋_GB2312"/>
                <w:b/>
                <w:sz w:val="20"/>
                <w:szCs w:val="21"/>
              </w:rPr>
            </w:pPr>
            <w:r>
              <w:rPr>
                <w:rFonts w:hint="eastAsia" w:ascii="宋体" w:hAnsi="宋体" w:eastAsia="仿宋_GB2312" w:cs="仿宋_GB2312"/>
                <w:b/>
                <w:sz w:val="20"/>
                <w:szCs w:val="21"/>
              </w:rPr>
              <w:t>所占比例（%）</w:t>
            </w:r>
          </w:p>
        </w:tc>
        <w:tc>
          <w:tcPr>
            <w:tcW w:w="818" w:type="pct"/>
            <w:vMerge w:val="continue"/>
            <w:noWrap w:val="0"/>
            <w:vAlign w:val="center"/>
          </w:tcPr>
          <w:p>
            <w:pPr>
              <w:spacing w:line="240" w:lineRule="auto"/>
              <w:jc w:val="center"/>
              <w:rPr>
                <w:rFonts w:hint="eastAsia" w:ascii="宋体" w:hAnsi="宋体" w:eastAsia="仿宋_GB2312" w:cs="仿宋_GB2312"/>
                <w:b/>
                <w:sz w:val="20"/>
                <w:szCs w:val="21"/>
              </w:rPr>
            </w:pPr>
          </w:p>
        </w:tc>
        <w:tc>
          <w:tcPr>
            <w:tcW w:w="682" w:type="pct"/>
            <w:vMerge w:val="continue"/>
            <w:noWrap w:val="0"/>
            <w:vAlign w:val="center"/>
          </w:tcPr>
          <w:p>
            <w:pPr>
              <w:spacing w:line="240" w:lineRule="auto"/>
              <w:jc w:val="center"/>
              <w:rPr>
                <w:rFonts w:hint="eastAsia" w:ascii="宋体" w:hAnsi="宋体" w:eastAsia="仿宋_GB2312" w:cs="仿宋_GB2312"/>
                <w:b/>
                <w:sz w:val="20"/>
                <w:szCs w:val="21"/>
              </w:rPr>
            </w:pPr>
          </w:p>
        </w:tc>
        <w:tc>
          <w:tcPr>
            <w:tcW w:w="874" w:type="pct"/>
            <w:noWrap w:val="0"/>
            <w:vAlign w:val="center"/>
          </w:tcPr>
          <w:p>
            <w:pPr>
              <w:spacing w:line="240" w:lineRule="auto"/>
              <w:jc w:val="center"/>
              <w:rPr>
                <w:rFonts w:hint="eastAsia" w:ascii="宋体" w:hAnsi="宋体" w:eastAsia="仿宋_GB2312" w:cs="仿宋_GB2312"/>
                <w:b/>
                <w:sz w:val="20"/>
                <w:szCs w:val="21"/>
              </w:rPr>
            </w:pPr>
            <w:r>
              <w:rPr>
                <w:rFonts w:hint="eastAsia" w:ascii="宋体" w:hAnsi="宋体" w:eastAsia="仿宋_GB2312" w:cs="仿宋_GB2312"/>
                <w:b/>
                <w:sz w:val="20"/>
                <w:szCs w:val="21"/>
              </w:rPr>
              <w:t>投资金额</w:t>
            </w:r>
          </w:p>
        </w:tc>
        <w:tc>
          <w:tcPr>
            <w:tcW w:w="477" w:type="pct"/>
            <w:noWrap w:val="0"/>
            <w:vAlign w:val="center"/>
          </w:tcPr>
          <w:p>
            <w:pPr>
              <w:spacing w:line="240" w:lineRule="auto"/>
              <w:jc w:val="center"/>
              <w:rPr>
                <w:rFonts w:hint="eastAsia" w:ascii="宋体" w:hAnsi="宋体" w:eastAsia="仿宋_GB2312" w:cs="仿宋_GB2312"/>
                <w:b/>
                <w:sz w:val="20"/>
                <w:szCs w:val="21"/>
              </w:rPr>
            </w:pPr>
            <w:r>
              <w:rPr>
                <w:rFonts w:hint="eastAsia" w:ascii="宋体" w:hAnsi="宋体" w:eastAsia="仿宋_GB2312" w:cs="仿宋_GB2312"/>
                <w:b/>
                <w:sz w:val="20"/>
                <w:szCs w:val="21"/>
              </w:rPr>
              <w:t>所占比例（%）</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jc w:val="center"/>
        </w:trPr>
        <w:tc>
          <w:tcPr>
            <w:tcW w:w="877" w:type="pct"/>
            <w:noWrap w:val="0"/>
            <w:vAlign w:val="center"/>
          </w:tcPr>
          <w:p>
            <w:pPr>
              <w:jc w:val="left"/>
              <w:rPr>
                <w:rFonts w:hint="eastAsia" w:ascii="宋体" w:hAnsi="宋体" w:eastAsia="仿宋_GB2312" w:cs="Times New Roman"/>
                <w:sz w:val="16"/>
                <w:szCs w:val="16"/>
              </w:rPr>
            </w:pPr>
            <w:r>
              <w:rPr>
                <w:rFonts w:hint="eastAsia" w:ascii="宋体" w:hAnsi="宋体" w:eastAsia="仿宋_GB2312" w:cs="Times New Roman"/>
                <w:sz w:val="16"/>
                <w:szCs w:val="16"/>
              </w:rPr>
              <w:t>青岛城市建设投资（集团）有限责任公司</w:t>
            </w:r>
          </w:p>
        </w:tc>
        <w:tc>
          <w:tcPr>
            <w:tcW w:w="803"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13,981,186,863.00</w:t>
            </w:r>
          </w:p>
        </w:tc>
        <w:tc>
          <w:tcPr>
            <w:tcW w:w="467"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46.6040</w:t>
            </w:r>
          </w:p>
        </w:tc>
        <w:tc>
          <w:tcPr>
            <w:tcW w:w="818"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9,320,791,242.00</w:t>
            </w:r>
          </w:p>
        </w:tc>
        <w:tc>
          <w:tcPr>
            <w:tcW w:w="682" w:type="pct"/>
            <w:noWrap w:val="0"/>
            <w:vAlign w:val="center"/>
          </w:tcPr>
          <w:p>
            <w:pPr>
              <w:spacing w:line="240" w:lineRule="auto"/>
              <w:jc w:val="right"/>
              <w:rPr>
                <w:rFonts w:hint="default" w:ascii="宋体" w:hAnsi="宋体" w:eastAsia="宋体" w:cs="Times New Roman"/>
                <w:sz w:val="16"/>
                <w:szCs w:val="16"/>
              </w:rPr>
            </w:pPr>
          </w:p>
        </w:tc>
        <w:tc>
          <w:tcPr>
            <w:tcW w:w="874" w:type="pct"/>
            <w:noWrap w:val="0"/>
            <w:vAlign w:val="center"/>
          </w:tcPr>
          <w:p>
            <w:pPr>
              <w:spacing w:line="240" w:lineRule="auto"/>
              <w:jc w:val="right"/>
              <w:rPr>
                <w:rFonts w:hint="default" w:ascii="宋体" w:hAnsi="宋体" w:eastAsia="宋体" w:cs="Times New Roman"/>
                <w:sz w:val="16"/>
                <w:szCs w:val="16"/>
                <w:lang w:val="en-US" w:eastAsia="zh-CN"/>
              </w:rPr>
            </w:pPr>
            <w:r>
              <w:rPr>
                <w:rFonts w:hint="default" w:ascii="宋体" w:hAnsi="宋体" w:eastAsia="宋体" w:cs="Times New Roman"/>
                <w:sz w:val="16"/>
                <w:szCs w:val="16"/>
              </w:rPr>
              <w:t>233</w:t>
            </w:r>
            <w:r>
              <w:rPr>
                <w:rFonts w:hint="eastAsia" w:ascii="宋体" w:hAnsi="宋体" w:cs="Times New Roman"/>
                <w:sz w:val="16"/>
                <w:szCs w:val="16"/>
                <w:lang w:val="en-US" w:eastAsia="zh-CN"/>
              </w:rPr>
              <w:t>,</w:t>
            </w:r>
            <w:r>
              <w:rPr>
                <w:rFonts w:hint="default" w:ascii="宋体" w:hAnsi="宋体" w:eastAsia="宋体" w:cs="Times New Roman"/>
                <w:sz w:val="16"/>
                <w:szCs w:val="16"/>
              </w:rPr>
              <w:t>019</w:t>
            </w:r>
            <w:r>
              <w:rPr>
                <w:rFonts w:hint="eastAsia" w:ascii="宋体" w:hAnsi="宋体" w:cs="Times New Roman"/>
                <w:sz w:val="16"/>
                <w:szCs w:val="16"/>
                <w:lang w:val="en-US" w:eastAsia="zh-CN"/>
              </w:rPr>
              <w:t>,</w:t>
            </w:r>
            <w:r>
              <w:rPr>
                <w:rFonts w:hint="default" w:ascii="宋体" w:hAnsi="宋体" w:eastAsia="宋体" w:cs="Times New Roman"/>
                <w:sz w:val="16"/>
                <w:szCs w:val="16"/>
              </w:rPr>
              <w:t>781</w:t>
            </w:r>
            <w:r>
              <w:rPr>
                <w:rFonts w:hint="eastAsia" w:ascii="宋体" w:hAnsi="宋体" w:cs="Times New Roman"/>
                <w:sz w:val="16"/>
                <w:szCs w:val="16"/>
                <w:lang w:val="en-US" w:eastAsia="zh-CN"/>
              </w:rPr>
              <w:t>,</w:t>
            </w:r>
            <w:r>
              <w:rPr>
                <w:rFonts w:hint="default" w:ascii="宋体" w:hAnsi="宋体" w:eastAsia="宋体" w:cs="Times New Roman"/>
                <w:sz w:val="16"/>
                <w:szCs w:val="16"/>
              </w:rPr>
              <w:t>050</w:t>
            </w:r>
            <w:r>
              <w:rPr>
                <w:rFonts w:hint="eastAsia" w:ascii="宋体" w:hAnsi="宋体" w:cs="Times New Roman"/>
                <w:sz w:val="16"/>
                <w:szCs w:val="16"/>
                <w:lang w:val="en-US" w:eastAsia="zh-CN"/>
              </w:rPr>
              <w:t>.00</w:t>
            </w:r>
          </w:p>
        </w:tc>
        <w:tc>
          <w:tcPr>
            <w:tcW w:w="477" w:type="pct"/>
            <w:noWrap w:val="0"/>
            <w:vAlign w:val="center"/>
          </w:tcPr>
          <w:p>
            <w:pPr>
              <w:spacing w:line="240" w:lineRule="auto"/>
              <w:jc w:val="right"/>
              <w:rPr>
                <w:rFonts w:hint="eastAsia" w:ascii="宋体" w:hAnsi="宋体" w:eastAsia="宋体" w:cs="Times New Roman"/>
                <w:sz w:val="16"/>
                <w:szCs w:val="16"/>
              </w:rPr>
            </w:pPr>
            <w:r>
              <w:rPr>
                <w:rFonts w:hint="default" w:ascii="宋体" w:hAnsi="宋体" w:eastAsia="宋体" w:cs="Times New Roman"/>
                <w:sz w:val="16"/>
                <w:szCs w:val="16"/>
              </w:rPr>
              <w:t>46.6040</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jc w:val="center"/>
        </w:trPr>
        <w:tc>
          <w:tcPr>
            <w:tcW w:w="877" w:type="pct"/>
            <w:noWrap w:val="0"/>
            <w:vAlign w:val="center"/>
          </w:tcPr>
          <w:p>
            <w:pPr>
              <w:jc w:val="left"/>
              <w:rPr>
                <w:rFonts w:hint="eastAsia" w:ascii="宋体" w:hAnsi="宋体" w:eastAsia="仿宋_GB2312" w:cs="Times New Roman"/>
                <w:sz w:val="16"/>
                <w:szCs w:val="16"/>
              </w:rPr>
            </w:pPr>
            <w:r>
              <w:rPr>
                <w:rFonts w:hint="eastAsia" w:ascii="宋体" w:hAnsi="宋体" w:eastAsia="仿宋_GB2312" w:cs="Times New Roman"/>
                <w:sz w:val="16"/>
                <w:szCs w:val="16"/>
              </w:rPr>
              <w:t>烟台市轨道交通集团有限公司</w:t>
            </w:r>
          </w:p>
        </w:tc>
        <w:tc>
          <w:tcPr>
            <w:tcW w:w="803"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5,212,733,076.97</w:t>
            </w:r>
          </w:p>
        </w:tc>
        <w:tc>
          <w:tcPr>
            <w:tcW w:w="467"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17.3758</w:t>
            </w:r>
          </w:p>
        </w:tc>
        <w:tc>
          <w:tcPr>
            <w:tcW w:w="818"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3,475,155,384.64</w:t>
            </w:r>
          </w:p>
        </w:tc>
        <w:tc>
          <w:tcPr>
            <w:tcW w:w="682" w:type="pct"/>
            <w:noWrap w:val="0"/>
            <w:vAlign w:val="center"/>
          </w:tcPr>
          <w:p>
            <w:pPr>
              <w:spacing w:line="240" w:lineRule="auto"/>
              <w:jc w:val="right"/>
              <w:rPr>
                <w:rFonts w:hint="default" w:ascii="宋体" w:hAnsi="宋体" w:eastAsia="宋体" w:cs="Times New Roman"/>
                <w:sz w:val="16"/>
                <w:szCs w:val="16"/>
              </w:rPr>
            </w:pPr>
          </w:p>
        </w:tc>
        <w:tc>
          <w:tcPr>
            <w:tcW w:w="874"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8,687,888,461.61</w:t>
            </w:r>
          </w:p>
        </w:tc>
        <w:tc>
          <w:tcPr>
            <w:tcW w:w="477" w:type="pct"/>
            <w:noWrap w:val="0"/>
            <w:vAlign w:val="center"/>
          </w:tcPr>
          <w:p>
            <w:pPr>
              <w:spacing w:line="240" w:lineRule="auto"/>
              <w:jc w:val="right"/>
              <w:rPr>
                <w:rFonts w:hint="eastAsia" w:ascii="宋体" w:hAnsi="宋体" w:eastAsia="宋体" w:cs="Times New Roman"/>
                <w:sz w:val="16"/>
                <w:szCs w:val="16"/>
              </w:rPr>
            </w:pPr>
            <w:r>
              <w:rPr>
                <w:rFonts w:hint="default" w:ascii="宋体" w:hAnsi="宋体" w:eastAsia="宋体" w:cs="Times New Roman"/>
                <w:sz w:val="16"/>
                <w:szCs w:val="16"/>
              </w:rPr>
              <w:t>17.3758</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jc w:val="center"/>
        </w:trPr>
        <w:tc>
          <w:tcPr>
            <w:tcW w:w="877" w:type="pct"/>
            <w:noWrap w:val="0"/>
            <w:vAlign w:val="center"/>
          </w:tcPr>
          <w:p>
            <w:pPr>
              <w:jc w:val="left"/>
              <w:rPr>
                <w:rFonts w:hint="eastAsia" w:ascii="宋体" w:hAnsi="宋体" w:eastAsia="仿宋_GB2312" w:cs="Times New Roman"/>
                <w:sz w:val="16"/>
                <w:szCs w:val="16"/>
              </w:rPr>
            </w:pPr>
            <w:r>
              <w:rPr>
                <w:rFonts w:hint="eastAsia" w:ascii="宋体" w:hAnsi="宋体" w:eastAsia="仿宋_GB2312" w:cs="Times New Roman"/>
                <w:sz w:val="16"/>
                <w:szCs w:val="16"/>
              </w:rPr>
              <w:t>日照交通能源发展集团有限公司</w:t>
            </w:r>
          </w:p>
        </w:tc>
        <w:tc>
          <w:tcPr>
            <w:tcW w:w="803"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4,586,983,671.64</w:t>
            </w:r>
          </w:p>
        </w:tc>
        <w:tc>
          <w:tcPr>
            <w:tcW w:w="467"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15.2899</w:t>
            </w:r>
          </w:p>
        </w:tc>
        <w:tc>
          <w:tcPr>
            <w:tcW w:w="818"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3,057,989,114.42</w:t>
            </w:r>
          </w:p>
        </w:tc>
        <w:tc>
          <w:tcPr>
            <w:tcW w:w="682" w:type="pct"/>
            <w:noWrap w:val="0"/>
            <w:vAlign w:val="center"/>
          </w:tcPr>
          <w:p>
            <w:pPr>
              <w:spacing w:line="240" w:lineRule="auto"/>
              <w:jc w:val="right"/>
              <w:rPr>
                <w:rFonts w:hint="default" w:ascii="宋体" w:hAnsi="宋体" w:eastAsia="宋体" w:cs="Times New Roman"/>
                <w:sz w:val="16"/>
                <w:szCs w:val="16"/>
              </w:rPr>
            </w:pPr>
          </w:p>
        </w:tc>
        <w:tc>
          <w:tcPr>
            <w:tcW w:w="874"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7,644,972,786.06</w:t>
            </w:r>
          </w:p>
        </w:tc>
        <w:tc>
          <w:tcPr>
            <w:tcW w:w="477" w:type="pct"/>
            <w:noWrap w:val="0"/>
            <w:vAlign w:val="center"/>
          </w:tcPr>
          <w:p>
            <w:pPr>
              <w:spacing w:line="240" w:lineRule="auto"/>
              <w:jc w:val="right"/>
              <w:rPr>
                <w:rFonts w:hint="eastAsia" w:ascii="宋体" w:hAnsi="宋体" w:eastAsia="宋体" w:cs="Times New Roman"/>
                <w:sz w:val="16"/>
                <w:szCs w:val="16"/>
              </w:rPr>
            </w:pPr>
            <w:r>
              <w:rPr>
                <w:rFonts w:hint="default" w:ascii="宋体" w:hAnsi="宋体" w:eastAsia="宋体" w:cs="Times New Roman"/>
                <w:sz w:val="16"/>
                <w:szCs w:val="16"/>
              </w:rPr>
              <w:t>15.2899</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jc w:val="center"/>
        </w:trPr>
        <w:tc>
          <w:tcPr>
            <w:tcW w:w="877" w:type="pct"/>
            <w:noWrap w:val="0"/>
            <w:vAlign w:val="center"/>
          </w:tcPr>
          <w:p>
            <w:pPr>
              <w:jc w:val="left"/>
              <w:rPr>
                <w:rFonts w:hint="eastAsia" w:ascii="宋体" w:hAnsi="宋体" w:eastAsia="仿宋_GB2312" w:cs="Times New Roman"/>
                <w:sz w:val="16"/>
                <w:szCs w:val="16"/>
              </w:rPr>
            </w:pPr>
            <w:r>
              <w:rPr>
                <w:rFonts w:hint="eastAsia" w:ascii="宋体" w:hAnsi="宋体" w:eastAsia="仿宋_GB2312" w:cs="Times New Roman"/>
                <w:sz w:val="16"/>
                <w:szCs w:val="16"/>
              </w:rPr>
              <w:t>山东高速集团有限公司</w:t>
            </w:r>
          </w:p>
        </w:tc>
        <w:tc>
          <w:tcPr>
            <w:tcW w:w="803"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4,243,361,055.04</w:t>
            </w:r>
          </w:p>
        </w:tc>
        <w:tc>
          <w:tcPr>
            <w:tcW w:w="467"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14.1445</w:t>
            </w:r>
          </w:p>
        </w:tc>
        <w:tc>
          <w:tcPr>
            <w:tcW w:w="818"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2,828,907,370.04</w:t>
            </w:r>
          </w:p>
        </w:tc>
        <w:tc>
          <w:tcPr>
            <w:tcW w:w="682" w:type="pct"/>
            <w:noWrap w:val="0"/>
            <w:vAlign w:val="center"/>
          </w:tcPr>
          <w:p>
            <w:pPr>
              <w:spacing w:line="240" w:lineRule="auto"/>
              <w:jc w:val="right"/>
              <w:rPr>
                <w:rFonts w:hint="default" w:ascii="宋体" w:hAnsi="宋体" w:eastAsia="宋体" w:cs="Times New Roman"/>
                <w:sz w:val="16"/>
                <w:szCs w:val="16"/>
              </w:rPr>
            </w:pPr>
          </w:p>
        </w:tc>
        <w:tc>
          <w:tcPr>
            <w:tcW w:w="874"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7,072,268,425.08</w:t>
            </w:r>
          </w:p>
        </w:tc>
        <w:tc>
          <w:tcPr>
            <w:tcW w:w="477" w:type="pct"/>
            <w:noWrap w:val="0"/>
            <w:vAlign w:val="center"/>
          </w:tcPr>
          <w:p>
            <w:pPr>
              <w:spacing w:line="240" w:lineRule="auto"/>
              <w:jc w:val="right"/>
              <w:rPr>
                <w:rFonts w:hint="eastAsia" w:ascii="宋体" w:hAnsi="宋体" w:eastAsia="宋体" w:cs="Times New Roman"/>
                <w:sz w:val="16"/>
                <w:szCs w:val="16"/>
              </w:rPr>
            </w:pPr>
            <w:r>
              <w:rPr>
                <w:rFonts w:hint="default" w:ascii="宋体" w:hAnsi="宋体" w:eastAsia="宋体" w:cs="Times New Roman"/>
                <w:sz w:val="16"/>
                <w:szCs w:val="16"/>
              </w:rPr>
              <w:t>14.1445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jc w:val="center"/>
        </w:trPr>
        <w:tc>
          <w:tcPr>
            <w:tcW w:w="877" w:type="pct"/>
            <w:noWrap w:val="0"/>
            <w:vAlign w:val="center"/>
          </w:tcPr>
          <w:p>
            <w:pPr>
              <w:jc w:val="left"/>
              <w:rPr>
                <w:rFonts w:hint="eastAsia" w:ascii="宋体" w:hAnsi="宋体" w:eastAsia="仿宋_GB2312" w:cs="Times New Roman"/>
                <w:sz w:val="16"/>
                <w:szCs w:val="16"/>
              </w:rPr>
            </w:pPr>
            <w:r>
              <w:rPr>
                <w:rFonts w:hint="eastAsia" w:ascii="宋体" w:hAnsi="宋体" w:eastAsia="仿宋_GB2312" w:cs="Times New Roman"/>
                <w:sz w:val="16"/>
                <w:szCs w:val="16"/>
              </w:rPr>
              <w:t>山东能源集团有限公司</w:t>
            </w:r>
          </w:p>
        </w:tc>
        <w:tc>
          <w:tcPr>
            <w:tcW w:w="803"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1,204,275,780.22</w:t>
            </w:r>
          </w:p>
        </w:tc>
        <w:tc>
          <w:tcPr>
            <w:tcW w:w="467"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4.0143</w:t>
            </w:r>
          </w:p>
        </w:tc>
        <w:tc>
          <w:tcPr>
            <w:tcW w:w="818"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802,850,520.14</w:t>
            </w:r>
          </w:p>
        </w:tc>
        <w:tc>
          <w:tcPr>
            <w:tcW w:w="682" w:type="pct"/>
            <w:noWrap w:val="0"/>
            <w:vAlign w:val="center"/>
          </w:tcPr>
          <w:p>
            <w:pPr>
              <w:spacing w:line="240" w:lineRule="auto"/>
              <w:jc w:val="right"/>
              <w:rPr>
                <w:rFonts w:hint="default" w:ascii="宋体" w:hAnsi="宋体" w:eastAsia="宋体" w:cs="Times New Roman"/>
                <w:sz w:val="16"/>
                <w:szCs w:val="16"/>
              </w:rPr>
            </w:pPr>
          </w:p>
        </w:tc>
        <w:tc>
          <w:tcPr>
            <w:tcW w:w="874"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2,007,126,300.36</w:t>
            </w:r>
          </w:p>
        </w:tc>
        <w:tc>
          <w:tcPr>
            <w:tcW w:w="477" w:type="pct"/>
            <w:noWrap w:val="0"/>
            <w:vAlign w:val="center"/>
          </w:tcPr>
          <w:p>
            <w:pPr>
              <w:spacing w:line="240" w:lineRule="auto"/>
              <w:jc w:val="right"/>
              <w:rPr>
                <w:rFonts w:hint="eastAsia" w:ascii="宋体" w:hAnsi="宋体" w:eastAsia="宋体" w:cs="Times New Roman"/>
                <w:sz w:val="16"/>
                <w:szCs w:val="16"/>
              </w:rPr>
            </w:pPr>
            <w:r>
              <w:rPr>
                <w:rFonts w:hint="default" w:ascii="宋体" w:hAnsi="宋体" w:eastAsia="宋体" w:cs="Times New Roman"/>
                <w:sz w:val="16"/>
                <w:szCs w:val="16"/>
              </w:rPr>
              <w:t>4.0143</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6" w:hRule="atLeast"/>
          <w:jc w:val="center"/>
        </w:trPr>
        <w:tc>
          <w:tcPr>
            <w:tcW w:w="877" w:type="pct"/>
            <w:noWrap w:val="0"/>
            <w:vAlign w:val="center"/>
          </w:tcPr>
          <w:p>
            <w:pPr>
              <w:jc w:val="left"/>
              <w:rPr>
                <w:rFonts w:hint="eastAsia" w:ascii="宋体" w:hAnsi="宋体" w:eastAsia="仿宋_GB2312" w:cs="Times New Roman"/>
                <w:sz w:val="16"/>
                <w:szCs w:val="16"/>
              </w:rPr>
            </w:pPr>
            <w:r>
              <w:rPr>
                <w:rFonts w:hint="eastAsia" w:ascii="宋体" w:hAnsi="宋体" w:eastAsia="仿宋_GB2312" w:cs="Times New Roman"/>
                <w:sz w:val="16"/>
                <w:szCs w:val="16"/>
              </w:rPr>
              <w:t>威海产业投资集团有限公司</w:t>
            </w:r>
          </w:p>
        </w:tc>
        <w:tc>
          <w:tcPr>
            <w:tcW w:w="803"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771,459,553.13</w:t>
            </w:r>
          </w:p>
        </w:tc>
        <w:tc>
          <w:tcPr>
            <w:tcW w:w="467"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2.5715</w:t>
            </w:r>
          </w:p>
        </w:tc>
        <w:tc>
          <w:tcPr>
            <w:tcW w:w="818"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514,306,368.76</w:t>
            </w:r>
          </w:p>
        </w:tc>
        <w:tc>
          <w:tcPr>
            <w:tcW w:w="682" w:type="pct"/>
            <w:noWrap w:val="0"/>
            <w:vAlign w:val="center"/>
          </w:tcPr>
          <w:p>
            <w:pPr>
              <w:spacing w:line="240" w:lineRule="auto"/>
              <w:jc w:val="right"/>
              <w:rPr>
                <w:rFonts w:hint="default" w:ascii="宋体" w:hAnsi="宋体" w:eastAsia="宋体" w:cs="Times New Roman"/>
                <w:sz w:val="16"/>
                <w:szCs w:val="16"/>
              </w:rPr>
            </w:pPr>
          </w:p>
        </w:tc>
        <w:tc>
          <w:tcPr>
            <w:tcW w:w="874" w:type="pct"/>
            <w:noWrap w:val="0"/>
            <w:vAlign w:val="center"/>
          </w:tcPr>
          <w:p>
            <w:pPr>
              <w:spacing w:line="240" w:lineRule="auto"/>
              <w:jc w:val="right"/>
              <w:rPr>
                <w:rFonts w:hint="default" w:ascii="宋体" w:hAnsi="宋体" w:eastAsia="宋体" w:cs="Times New Roman"/>
                <w:sz w:val="16"/>
                <w:szCs w:val="16"/>
              </w:rPr>
            </w:pPr>
            <w:r>
              <w:rPr>
                <w:rFonts w:hint="default" w:ascii="宋体" w:hAnsi="宋体" w:eastAsia="宋体" w:cs="Times New Roman"/>
                <w:sz w:val="16"/>
                <w:szCs w:val="16"/>
              </w:rPr>
              <w:t>1,285,765,921.89</w:t>
            </w:r>
          </w:p>
        </w:tc>
        <w:tc>
          <w:tcPr>
            <w:tcW w:w="477" w:type="pct"/>
            <w:noWrap w:val="0"/>
            <w:vAlign w:val="center"/>
          </w:tcPr>
          <w:p>
            <w:pPr>
              <w:spacing w:line="240" w:lineRule="auto"/>
              <w:jc w:val="right"/>
              <w:rPr>
                <w:rFonts w:hint="eastAsia" w:ascii="宋体" w:hAnsi="宋体" w:eastAsia="宋体" w:cs="Times New Roman"/>
                <w:sz w:val="16"/>
                <w:szCs w:val="16"/>
              </w:rPr>
            </w:pPr>
            <w:r>
              <w:rPr>
                <w:rFonts w:hint="default" w:ascii="宋体" w:hAnsi="宋体" w:eastAsia="宋体" w:cs="Times New Roman"/>
                <w:sz w:val="16"/>
                <w:szCs w:val="16"/>
              </w:rPr>
              <w:t>2.5715</w:t>
            </w:r>
          </w:p>
        </w:tc>
      </w:tr>
      <w:tr>
        <w:tblPrEx>
          <w:tblBorders>
            <w:top w:val="double" w:color="auto" w:sz="4" w:space="0"/>
            <w:left w:val="none" w:color="auto" w:sz="0" w:space="0"/>
            <w:bottom w:val="doub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5" w:hRule="atLeast"/>
          <w:jc w:val="center"/>
        </w:trPr>
        <w:tc>
          <w:tcPr>
            <w:tcW w:w="877" w:type="pct"/>
            <w:noWrap w:val="0"/>
            <w:vAlign w:val="center"/>
          </w:tcPr>
          <w:p>
            <w:pPr>
              <w:jc w:val="center"/>
              <w:rPr>
                <w:rFonts w:hint="eastAsia" w:ascii="宋体" w:hAnsi="宋体" w:eastAsia="仿宋_GB2312" w:cs="Times New Roman"/>
                <w:sz w:val="16"/>
                <w:szCs w:val="16"/>
              </w:rPr>
            </w:pPr>
            <w:r>
              <w:rPr>
                <w:rFonts w:hint="eastAsia" w:ascii="宋体" w:hAnsi="宋体" w:eastAsia="仿宋_GB2312" w:cs="Times New Roman"/>
                <w:b/>
                <w:bCs/>
                <w:sz w:val="16"/>
                <w:szCs w:val="16"/>
              </w:rPr>
              <w:t>合</w:t>
            </w:r>
            <w:r>
              <w:rPr>
                <w:rFonts w:hint="eastAsia" w:ascii="宋体" w:hAnsi="宋体" w:eastAsia="仿宋_GB2312" w:cs="Times New Roman"/>
                <w:b/>
                <w:bCs/>
                <w:sz w:val="16"/>
                <w:szCs w:val="16"/>
                <w:lang w:val="en-US" w:eastAsia="zh-CN"/>
              </w:rPr>
              <w:t xml:space="preserve">  </w:t>
            </w:r>
            <w:r>
              <w:rPr>
                <w:rFonts w:hint="eastAsia" w:ascii="宋体" w:hAnsi="宋体" w:eastAsia="仿宋_GB2312" w:cs="Times New Roman"/>
                <w:b/>
                <w:bCs/>
                <w:sz w:val="16"/>
                <w:szCs w:val="16"/>
              </w:rPr>
              <w:t>计</w:t>
            </w:r>
          </w:p>
        </w:tc>
        <w:tc>
          <w:tcPr>
            <w:tcW w:w="803" w:type="pct"/>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30,000,000,000.00</w:t>
            </w:r>
          </w:p>
        </w:tc>
        <w:tc>
          <w:tcPr>
            <w:tcW w:w="467" w:type="pct"/>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100.0000</w:t>
            </w:r>
          </w:p>
        </w:tc>
        <w:tc>
          <w:tcPr>
            <w:tcW w:w="818" w:type="pct"/>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20,000,000,000.00</w:t>
            </w:r>
          </w:p>
        </w:tc>
        <w:tc>
          <w:tcPr>
            <w:tcW w:w="682" w:type="pct"/>
            <w:noWrap w:val="0"/>
            <w:vAlign w:val="center"/>
          </w:tcPr>
          <w:p>
            <w:pPr>
              <w:spacing w:line="240" w:lineRule="auto"/>
              <w:jc w:val="right"/>
              <w:rPr>
                <w:rFonts w:hint="default" w:ascii="宋体" w:hAnsi="宋体" w:eastAsia="宋体" w:cs="Times New Roman"/>
                <w:b/>
                <w:bCs/>
                <w:sz w:val="16"/>
                <w:szCs w:val="16"/>
              </w:rPr>
            </w:pPr>
          </w:p>
        </w:tc>
        <w:tc>
          <w:tcPr>
            <w:tcW w:w="874" w:type="pct"/>
            <w:noWrap w:val="0"/>
            <w:vAlign w:val="center"/>
          </w:tcPr>
          <w:p>
            <w:pPr>
              <w:spacing w:line="240" w:lineRule="auto"/>
              <w:jc w:val="right"/>
              <w:rPr>
                <w:rFonts w:hint="default" w:ascii="宋体" w:hAnsi="宋体" w:eastAsia="宋体" w:cs="Times New Roman"/>
                <w:b/>
                <w:bCs/>
                <w:sz w:val="16"/>
                <w:szCs w:val="16"/>
              </w:rPr>
            </w:pPr>
            <w:r>
              <w:rPr>
                <w:rFonts w:hint="default" w:ascii="宋体" w:hAnsi="宋体" w:eastAsia="宋体" w:cs="Times New Roman"/>
                <w:b/>
                <w:bCs/>
                <w:sz w:val="16"/>
                <w:szCs w:val="16"/>
              </w:rPr>
              <w:t>50,000,000,000.00</w:t>
            </w:r>
          </w:p>
        </w:tc>
        <w:tc>
          <w:tcPr>
            <w:tcW w:w="477" w:type="pct"/>
            <w:noWrap w:val="0"/>
            <w:vAlign w:val="center"/>
          </w:tcPr>
          <w:p>
            <w:pPr>
              <w:spacing w:line="240" w:lineRule="auto"/>
              <w:jc w:val="right"/>
              <w:rPr>
                <w:rFonts w:hint="eastAsia" w:ascii="宋体" w:hAnsi="宋体" w:eastAsia="宋体" w:cs="Times New Roman"/>
                <w:b/>
                <w:bCs/>
                <w:sz w:val="16"/>
                <w:szCs w:val="16"/>
              </w:rPr>
            </w:pPr>
          </w:p>
        </w:tc>
      </w:tr>
      <w:bookmarkEnd w:id="0"/>
    </w:tbl>
    <w:p>
      <w:pPr>
        <w:rPr>
          <w:rFonts w:hint="eastAsia" w:ascii="宋体" w:hAnsi="宋体" w:eastAsia="楷体_GB2312" w:cs="楷体_GB2312"/>
          <w:sz w:val="32"/>
          <w:szCs w:val="32"/>
          <w:lang w:val="en-US" w:eastAsia="zh-CN"/>
        </w:rPr>
      </w:pPr>
    </w:p>
    <w:p>
      <w:pPr>
        <w:rPr>
          <w:rFonts w:hint="eastAsia" w:ascii="宋体" w:hAnsi="宋体" w:eastAsia="楷体_GB2312" w:cs="楷体_GB2312"/>
          <w:sz w:val="32"/>
          <w:szCs w:val="32"/>
          <w:lang w:val="en-US" w:eastAsia="zh-CN"/>
        </w:rPr>
      </w:pPr>
    </w:p>
    <w:p>
      <w:pPr>
        <w:rPr>
          <w:rFonts w:hint="eastAsia" w:ascii="宋体" w:hAnsi="宋体" w:eastAsia="楷体_GB2312" w:cs="楷体_GB2312"/>
          <w:sz w:val="32"/>
          <w:szCs w:val="32"/>
          <w:lang w:val="en-US" w:eastAsia="zh-CN"/>
        </w:rPr>
      </w:pPr>
    </w:p>
    <w:p>
      <w:pPr>
        <w:rPr>
          <w:rFonts w:hint="eastAsia" w:ascii="宋体" w:hAnsi="宋体" w:eastAsia="楷体_GB2312" w:cs="楷体_GB2312"/>
          <w:sz w:val="32"/>
          <w:szCs w:val="32"/>
          <w:lang w:val="en-US" w:eastAsia="zh-CN"/>
        </w:rPr>
      </w:pPr>
    </w:p>
    <w:p>
      <w:pPr>
        <w:rPr>
          <w:rFonts w:hint="eastAsia" w:ascii="宋体" w:hAnsi="宋体" w:eastAsia="楷体_GB2312" w:cs="楷体_GB2312"/>
          <w:sz w:val="32"/>
          <w:szCs w:val="32"/>
          <w:lang w:val="en-US" w:eastAsia="zh-CN"/>
        </w:rPr>
      </w:pPr>
    </w:p>
    <w:p>
      <w:pPr>
        <w:rPr>
          <w:rFonts w:hint="eastAsia" w:ascii="宋体" w:hAnsi="宋体" w:eastAsia="楷体_GB2312" w:cs="楷体_GB2312"/>
          <w:sz w:val="32"/>
          <w:szCs w:val="32"/>
          <w:lang w:val="en-US" w:eastAsia="zh-CN"/>
        </w:rPr>
      </w:pPr>
    </w:p>
    <w:p>
      <w:pPr>
        <w:rPr>
          <w:rFonts w:hint="eastAsia" w:ascii="宋体" w:hAnsi="宋体" w:eastAsia="楷体_GB2312" w:cs="楷体_GB2312"/>
          <w:sz w:val="32"/>
          <w:szCs w:val="32"/>
          <w:lang w:val="en-US" w:eastAsia="zh-CN"/>
        </w:rPr>
      </w:pPr>
    </w:p>
    <w:p>
      <w:pPr>
        <w:rPr>
          <w:rFonts w:hint="eastAsia" w:ascii="宋体" w:hAnsi="宋体" w:eastAsia="楷体_GB2312" w:cs="楷体_GB2312"/>
          <w:sz w:val="32"/>
          <w:szCs w:val="32"/>
          <w:lang w:val="en-US" w:eastAsia="zh-CN"/>
        </w:rPr>
      </w:pPr>
    </w:p>
    <w:p>
      <w:pPr>
        <w:pStyle w:val="2"/>
        <w:rPr>
          <w:rFonts w:hint="eastAsia" w:ascii="宋体" w:hAnsi="宋体"/>
          <w:lang w:val="en-US" w:eastAsia="zh-CN"/>
        </w:rPr>
      </w:pPr>
    </w:p>
    <w:p>
      <w:pPr>
        <w:rPr>
          <w:rFonts w:hint="eastAsia" w:ascii="宋体" w:hAnsi="宋体" w:eastAsia="楷体_GB2312" w:cs="楷体_GB2312"/>
          <w:sz w:val="32"/>
          <w:szCs w:val="32"/>
          <w:lang w:val="en-US" w:eastAsia="zh-CN"/>
        </w:rPr>
      </w:pPr>
    </w:p>
    <w:p>
      <w:pPr>
        <w:ind w:firstLine="640" w:firstLineChars="200"/>
        <w:rPr>
          <w:rFonts w:hint="eastAsia" w:ascii="宋体" w:hAnsi="宋体" w:eastAsia="楷体_GB2312" w:cs="楷体_GB2312"/>
          <w:sz w:val="32"/>
          <w:szCs w:val="32"/>
          <w:lang w:val="en-US" w:eastAsia="zh-CN"/>
        </w:rPr>
      </w:pPr>
      <w:r>
        <w:rPr>
          <w:rFonts w:hint="eastAsia" w:ascii="宋体" w:hAnsi="宋体" w:eastAsia="楷体_GB2312" w:cs="楷体_GB2312"/>
          <w:sz w:val="32"/>
          <w:szCs w:val="32"/>
          <w:lang w:val="en-US" w:eastAsia="zh-CN"/>
        </w:rPr>
        <w:t>（二）利润表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firstLine="5040" w:firstLineChars="2100"/>
        <w:jc w:val="center"/>
        <w:textAlignment w:val="auto"/>
        <w:rPr>
          <w:rFonts w:hint="eastAsia" w:ascii="宋体" w:hAnsi="宋体" w:eastAsia="仿宋_GB2312" w:cs="仿宋_GB2312"/>
          <w:sz w:val="24"/>
          <w:szCs w:val="24"/>
          <w:lang w:val="en-US" w:eastAsia="zh-CN"/>
        </w:rPr>
      </w:pPr>
      <w:r>
        <w:rPr>
          <w:rFonts w:hint="eastAsia" w:ascii="宋体" w:hAnsi="宋体" w:eastAsia="仿宋_GB2312" w:cs="仿宋_GB2312"/>
          <w:sz w:val="24"/>
          <w:szCs w:val="24"/>
          <w:lang w:val="en-US" w:eastAsia="zh-CN"/>
        </w:rPr>
        <w:t xml:space="preserve">                单位：元</w:t>
      </w:r>
    </w:p>
    <w:tbl>
      <w:tblPr>
        <w:tblStyle w:val="11"/>
        <w:tblW w:w="104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2"/>
        <w:gridCol w:w="687"/>
        <w:gridCol w:w="2113"/>
        <w:gridCol w:w="21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仿宋_GB2312" w:cs="宋体"/>
                <w:b/>
                <w:bCs/>
                <w:color w:val="000000"/>
                <w:kern w:val="0"/>
                <w:sz w:val="22"/>
                <w:szCs w:val="22"/>
                <w:lang w:bidi="ar"/>
              </w:rPr>
            </w:pPr>
            <w:r>
              <w:rPr>
                <w:rFonts w:hint="eastAsia" w:ascii="宋体" w:hAnsi="宋体" w:eastAsia="仿宋_GB2312" w:cs="宋体"/>
                <w:b/>
                <w:bCs/>
                <w:color w:val="000000"/>
                <w:kern w:val="0"/>
                <w:sz w:val="22"/>
                <w:szCs w:val="22"/>
                <w:lang w:val="en-US" w:eastAsia="zh-CN" w:bidi="ar"/>
              </w:rPr>
              <w:t>项            目</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仿宋_GB2312" w:cs="宋体"/>
                <w:b/>
                <w:bCs/>
                <w:color w:val="000000"/>
                <w:kern w:val="0"/>
                <w:sz w:val="22"/>
                <w:szCs w:val="22"/>
                <w:lang w:bidi="ar"/>
              </w:rPr>
            </w:pPr>
            <w:r>
              <w:rPr>
                <w:rFonts w:hint="eastAsia" w:ascii="宋体" w:hAnsi="宋体" w:eastAsia="仿宋_GB2312" w:cs="宋体"/>
                <w:b/>
                <w:bCs/>
                <w:color w:val="000000"/>
                <w:kern w:val="0"/>
                <w:sz w:val="22"/>
                <w:szCs w:val="22"/>
                <w:lang w:val="en-US" w:eastAsia="zh-CN" w:bidi="ar"/>
              </w:rPr>
              <w:t>行次</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仿宋_GB2312" w:cs="宋体"/>
                <w:b/>
                <w:bCs/>
                <w:color w:val="000000"/>
                <w:kern w:val="0"/>
                <w:sz w:val="22"/>
                <w:szCs w:val="22"/>
                <w:lang w:bidi="ar"/>
              </w:rPr>
            </w:pPr>
            <w:r>
              <w:rPr>
                <w:rFonts w:hint="eastAsia" w:ascii="宋体" w:hAnsi="宋体" w:eastAsia="仿宋_GB2312" w:cs="宋体"/>
                <w:b/>
                <w:bCs/>
                <w:color w:val="000000"/>
                <w:kern w:val="0"/>
                <w:sz w:val="22"/>
                <w:szCs w:val="22"/>
                <w:lang w:val="en-US" w:eastAsia="zh-CN" w:bidi="ar"/>
              </w:rPr>
              <w:t>本期金额</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仿宋_GB2312" w:cs="宋体"/>
                <w:b/>
                <w:bCs/>
                <w:color w:val="000000"/>
                <w:kern w:val="0"/>
                <w:sz w:val="22"/>
                <w:szCs w:val="22"/>
                <w:lang w:bidi="ar"/>
              </w:rPr>
            </w:pPr>
            <w:r>
              <w:rPr>
                <w:rFonts w:hint="eastAsia" w:ascii="宋体" w:hAnsi="宋体" w:eastAsia="仿宋_GB2312" w:cs="宋体"/>
                <w:b/>
                <w:bCs/>
                <w:color w:val="000000"/>
                <w:kern w:val="0"/>
                <w:sz w:val="22"/>
                <w:szCs w:val="22"/>
                <w:lang w:val="en-US" w:eastAsia="zh-CN" w:bidi="ar"/>
              </w:rPr>
              <w:t>上期金额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000000"/>
                <w:sz w:val="22"/>
                <w:szCs w:val="22"/>
                <w:u w:val="none"/>
              </w:rPr>
            </w:pPr>
            <w:r>
              <w:rPr>
                <w:rFonts w:hint="eastAsia" w:ascii="宋体" w:hAnsi="宋体" w:eastAsia="仿宋_GB2312" w:cs="仿宋_GB2312"/>
                <w:b/>
                <w:bCs/>
                <w:i w:val="0"/>
                <w:iCs w:val="0"/>
                <w:color w:val="000000"/>
                <w:kern w:val="0"/>
                <w:sz w:val="22"/>
                <w:szCs w:val="22"/>
                <w:u w:val="none"/>
                <w:lang w:val="en-US" w:eastAsia="zh-CN" w:bidi="ar"/>
              </w:rPr>
              <w:t>一、营业总收入</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sz w:val="18"/>
                <w:szCs w:val="18"/>
              </w:rPr>
            </w:pPr>
            <w:r>
              <w:rPr>
                <w:rFonts w:hint="eastAsia" w:ascii="宋体" w:hAnsi="宋体" w:eastAsia="宋体" w:cs="Times New Roman"/>
                <w:sz w:val="18"/>
                <w:szCs w:val="18"/>
                <w:lang w:val="en-US" w:eastAsia="zh-CN"/>
              </w:rPr>
              <w:t>137,385,912,825.17</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sz w:val="18"/>
                <w:szCs w:val="18"/>
              </w:rPr>
            </w:pPr>
            <w:r>
              <w:rPr>
                <w:rFonts w:hint="eastAsia" w:ascii="宋体" w:hAnsi="宋体" w:eastAsia="宋体" w:cs="Times New Roman"/>
                <w:sz w:val="18"/>
                <w:szCs w:val="18"/>
                <w:lang w:val="en-US" w:eastAsia="zh-CN"/>
              </w:rPr>
              <w:t>83,806,026,686.94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其中：营业收入</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sz w:val="18"/>
                <w:szCs w:val="18"/>
              </w:rPr>
            </w:pPr>
            <w:r>
              <w:rPr>
                <w:rFonts w:hint="eastAsia" w:ascii="宋体" w:hAnsi="宋体" w:eastAsia="宋体" w:cs="Times New Roman"/>
                <w:sz w:val="18"/>
                <w:szCs w:val="18"/>
                <w:lang w:val="en-US" w:eastAsia="zh-CN"/>
              </w:rPr>
              <w:t>137,385,912,825.17</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sz w:val="18"/>
                <w:szCs w:val="18"/>
              </w:rPr>
            </w:pPr>
            <w:r>
              <w:rPr>
                <w:rFonts w:hint="eastAsia" w:ascii="宋体" w:hAnsi="宋体" w:eastAsia="宋体" w:cs="Times New Roman"/>
                <w:sz w:val="18"/>
                <w:szCs w:val="18"/>
                <w:lang w:val="en-US" w:eastAsia="zh-CN"/>
              </w:rPr>
              <w:t>83,806,026,686.94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△利息收入</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△已赚保费</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△手续费及佣金收入</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000000"/>
                <w:sz w:val="22"/>
                <w:szCs w:val="22"/>
                <w:u w:val="none"/>
              </w:rPr>
            </w:pPr>
            <w:r>
              <w:rPr>
                <w:rFonts w:hint="eastAsia" w:ascii="宋体" w:hAnsi="宋体" w:eastAsia="仿宋_GB2312" w:cs="仿宋_GB2312"/>
                <w:b/>
                <w:bCs/>
                <w:i w:val="0"/>
                <w:iCs w:val="0"/>
                <w:color w:val="000000"/>
                <w:kern w:val="0"/>
                <w:sz w:val="22"/>
                <w:szCs w:val="22"/>
                <w:u w:val="none"/>
                <w:lang w:val="en-US" w:eastAsia="zh-CN" w:bidi="ar"/>
              </w:rPr>
              <w:t>二、营业总成本</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131,429,783,691.81</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78,473,043,348.15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其中：营业成本</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122,702,323,062.28</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71,424,439,051.99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△利息支出</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△手续费及佣金支出</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△退保金</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△赔付支出净额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△提取保险责任准备金净额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△保单红利支出</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△分保费用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税金及附加</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612,678,245.12</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540,183,535.74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销售费用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87,524,806.01</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72,120,913.76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管理费用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4,474,086,506.19</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3,918,233,875.60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研发费用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282,339,981.55</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167,644,935.16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财务费用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3,270,831,090.66</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2,350,421,035.90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其中：利息费用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3,264,337,662.75</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2,957,166,566.06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利息收入</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483,166,453.00</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692,196,530.37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汇兑净损失（净收益以“-”号填列）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303,703,740.77</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-112,963,845.14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加：其他收益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633,825,852.22</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357,239,043.43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投资收益（损失以“-”号填列）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1,974,834,571.23</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1,971,098,510.40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其中：对联营企业和合营企业的投资收益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1,578,245,593.16</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1,325,560,836.40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以摊余成本计量的金融资产终止确认收益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△汇兑收益（损失以“-”号填列）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净敞口套期收益（损失以“-”号填列）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公允价值变动收益（损失以“-”号填列）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-23,525,012.85</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142,203,777.33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信用减值损失（损失以“-”号填列）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-346,226,282.17</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-618,270,993.21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资产减值损失（损失以“-”号填列）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-268,206,480.38</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-221,192,762.02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资产处置收益（损失以“-”号填列）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907,809,520.00</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394,572,020.12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000000"/>
                <w:sz w:val="22"/>
                <w:szCs w:val="22"/>
                <w:u w:val="none"/>
              </w:rPr>
            </w:pPr>
            <w:r>
              <w:rPr>
                <w:rFonts w:hint="eastAsia" w:ascii="宋体" w:hAnsi="宋体" w:eastAsia="仿宋_GB2312" w:cs="仿宋_GB2312"/>
                <w:b/>
                <w:bCs/>
                <w:i w:val="0"/>
                <w:iCs w:val="0"/>
                <w:color w:val="000000"/>
                <w:kern w:val="0"/>
                <w:sz w:val="22"/>
                <w:szCs w:val="22"/>
                <w:u w:val="none"/>
                <w:lang w:val="en-US" w:eastAsia="zh-CN" w:bidi="ar"/>
              </w:rPr>
              <w:t>三、营业利润（亏损以“－”号填列）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8,834,641,301.41</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7,358,632,934.84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加：营业外收入</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349,143,500.09</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340,280,447.72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其中：政府补助</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6,803,549.00</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200,642,404.53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减：营业外支出</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164,272,957.91</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136,551,405.47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000000"/>
                <w:sz w:val="22"/>
                <w:szCs w:val="22"/>
                <w:u w:val="none"/>
              </w:rPr>
            </w:pPr>
            <w:r>
              <w:rPr>
                <w:rFonts w:hint="eastAsia" w:ascii="宋体" w:hAnsi="宋体" w:eastAsia="仿宋_GB2312" w:cs="仿宋_GB2312"/>
                <w:b/>
                <w:bCs/>
                <w:i w:val="0"/>
                <w:iCs w:val="0"/>
                <w:color w:val="000000"/>
                <w:kern w:val="0"/>
                <w:sz w:val="22"/>
                <w:szCs w:val="22"/>
                <w:u w:val="none"/>
                <w:lang w:val="en-US" w:eastAsia="zh-CN" w:bidi="ar"/>
              </w:rPr>
              <w:t>四、利润总额（亏损总额以“－”号填列）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9,019,511,843.59</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7,562,361,977.09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减：所得税费用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2,505,749,768.22</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2,290,420,317.54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000000"/>
                <w:sz w:val="22"/>
                <w:szCs w:val="22"/>
                <w:u w:val="none"/>
              </w:rPr>
            </w:pPr>
            <w:r>
              <w:rPr>
                <w:rFonts w:hint="eastAsia" w:ascii="宋体" w:hAnsi="宋体" w:eastAsia="仿宋_GB2312" w:cs="仿宋_GB2312"/>
                <w:b/>
                <w:bCs/>
                <w:i w:val="0"/>
                <w:iCs w:val="0"/>
                <w:color w:val="000000"/>
                <w:kern w:val="0"/>
                <w:sz w:val="22"/>
                <w:szCs w:val="22"/>
                <w:u w:val="none"/>
                <w:lang w:val="en-US" w:eastAsia="zh-CN" w:bidi="ar"/>
              </w:rPr>
              <w:t>五、净利润（净亏损以“－”号填列）</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6,513,762,075.37</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5,271,941,659.55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（一）按所有权归属分类:</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归属于母公司所有者的净利润</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2,719,368,267.85</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1,824,753,315.70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*少数股东损益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3,794,393,807.52</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3,447,188,343.85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（二）按经营持续性分类:</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持续经营净利润</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6,513,762,075.37</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5,271,941,659.55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终止经营净利润</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000000"/>
                <w:sz w:val="22"/>
                <w:szCs w:val="22"/>
                <w:u w:val="none"/>
              </w:rPr>
            </w:pPr>
            <w:r>
              <w:rPr>
                <w:rFonts w:hint="eastAsia" w:ascii="宋体" w:hAnsi="宋体" w:eastAsia="仿宋_GB2312" w:cs="仿宋_GB2312"/>
                <w:b/>
                <w:bCs/>
                <w:i w:val="0"/>
                <w:iCs w:val="0"/>
                <w:color w:val="000000"/>
                <w:kern w:val="0"/>
                <w:sz w:val="22"/>
                <w:szCs w:val="22"/>
                <w:u w:val="none"/>
                <w:lang w:val="en-US" w:eastAsia="zh-CN" w:bidi="ar"/>
              </w:rPr>
              <w:t>六、其他综合收益的税后净额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highlight w:val="none"/>
                <w:lang w:val="en-US" w:eastAsia="zh-CN" w:bidi="ar-SA"/>
              </w:rPr>
            </w:pPr>
            <w:r>
              <w:rPr>
                <w:rFonts w:hint="eastAsia" w:ascii="宋体" w:hAnsi="宋体" w:eastAsia="宋体" w:cs="Times New Roman"/>
                <w:kern w:val="2"/>
                <w:sz w:val="18"/>
                <w:szCs w:val="18"/>
                <w:highlight w:val="none"/>
                <w:lang w:val="en-US" w:eastAsia="zh-CN" w:bidi="ar-SA"/>
              </w:rPr>
              <w:t>11</w:t>
            </w:r>
            <w:r>
              <w:rPr>
                <w:rFonts w:hint="eastAsia" w:ascii="宋体" w:hAnsi="宋体" w:cs="Times New Roman"/>
                <w:kern w:val="2"/>
                <w:sz w:val="18"/>
                <w:szCs w:val="18"/>
                <w:highlight w:val="none"/>
                <w:lang w:val="en-US" w:eastAsia="zh-CN" w:bidi="ar-SA"/>
              </w:rPr>
              <w:t>8</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229</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986</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38</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highlight w:val="none"/>
                <w:lang w:val="en-US" w:eastAsia="zh-CN" w:bidi="ar-SA"/>
              </w:rPr>
            </w:pPr>
            <w:r>
              <w:rPr>
                <w:rFonts w:hint="eastAsia" w:ascii="宋体" w:hAnsi="宋体" w:eastAsia="宋体" w:cs="Times New Roman"/>
                <w:kern w:val="2"/>
                <w:sz w:val="18"/>
                <w:szCs w:val="18"/>
                <w:highlight w:val="none"/>
                <w:lang w:val="en-US" w:eastAsia="zh-CN" w:bidi="ar-SA"/>
              </w:rPr>
              <w:t>-285,274,456.03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归属于母公司所有者的其他综合收益的税后净额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highlight w:val="none"/>
                <w:lang w:val="en-US" w:eastAsia="zh-CN" w:bidi="ar-SA"/>
              </w:rPr>
            </w:pPr>
            <w:r>
              <w:rPr>
                <w:rFonts w:hint="eastAsia" w:ascii="宋体" w:hAnsi="宋体" w:eastAsia="宋体" w:cs="Times New Roman"/>
                <w:kern w:val="2"/>
                <w:sz w:val="18"/>
                <w:szCs w:val="18"/>
                <w:highlight w:val="none"/>
                <w:lang w:val="en-US" w:eastAsia="zh-CN" w:bidi="ar-SA"/>
              </w:rPr>
              <w:t>1</w:t>
            </w:r>
            <w:r>
              <w:rPr>
                <w:rFonts w:hint="eastAsia" w:ascii="宋体" w:hAnsi="宋体" w:cs="Times New Roman"/>
                <w:kern w:val="2"/>
                <w:sz w:val="18"/>
                <w:szCs w:val="18"/>
                <w:highlight w:val="none"/>
                <w:lang w:val="en-US" w:eastAsia="zh-CN" w:bidi="ar-SA"/>
              </w:rPr>
              <w:t>41</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976</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626</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48</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highlight w:val="none"/>
                <w:lang w:val="en-US" w:eastAsia="zh-CN" w:bidi="ar-SA"/>
              </w:rPr>
            </w:pPr>
            <w:r>
              <w:rPr>
                <w:rFonts w:hint="eastAsia" w:ascii="宋体" w:hAnsi="宋体" w:eastAsia="宋体" w:cs="Times New Roman"/>
                <w:kern w:val="2"/>
                <w:sz w:val="18"/>
                <w:szCs w:val="18"/>
                <w:highlight w:val="none"/>
                <w:lang w:val="en-US" w:eastAsia="zh-CN" w:bidi="ar-SA"/>
              </w:rPr>
              <w:t>-150,451,931.28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（一）不能重分类进损益的其他综合收益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highlight w:val="none"/>
                <w:lang w:val="en-US" w:eastAsia="zh-CN" w:bidi="ar-SA"/>
              </w:rPr>
            </w:pPr>
            <w:r>
              <w:rPr>
                <w:rFonts w:hint="eastAsia" w:ascii="宋体" w:hAnsi="宋体" w:eastAsia="宋体" w:cs="Times New Roman"/>
                <w:kern w:val="2"/>
                <w:sz w:val="18"/>
                <w:szCs w:val="18"/>
                <w:highlight w:val="none"/>
                <w:lang w:val="en-US" w:eastAsia="zh-CN" w:bidi="ar-SA"/>
              </w:rPr>
              <w:t>16</w:t>
            </w:r>
            <w:r>
              <w:rPr>
                <w:rFonts w:hint="eastAsia" w:ascii="宋体" w:hAnsi="宋体" w:cs="Times New Roman"/>
                <w:kern w:val="2"/>
                <w:sz w:val="18"/>
                <w:szCs w:val="18"/>
                <w:highlight w:val="none"/>
                <w:lang w:val="en-US" w:eastAsia="zh-CN" w:bidi="ar-SA"/>
              </w:rPr>
              <w:t>7</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265</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576</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75</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highlight w:val="none"/>
                <w:lang w:val="en-US" w:eastAsia="zh-CN" w:bidi="ar-SA"/>
              </w:rPr>
            </w:pPr>
            <w:r>
              <w:rPr>
                <w:rFonts w:hint="eastAsia" w:ascii="宋体" w:hAnsi="宋体" w:eastAsia="宋体" w:cs="Times New Roman"/>
                <w:kern w:val="2"/>
                <w:sz w:val="18"/>
                <w:szCs w:val="18"/>
                <w:highlight w:val="none"/>
                <w:lang w:val="en-US" w:eastAsia="zh-CN" w:bidi="ar-SA"/>
              </w:rPr>
              <w:t>-135,272,668.61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1.重新计量设定受益计划变动额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-41,250,818.18</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-140,030,180.95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2.权益法下不能转损益的其他综合收益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422,080.87</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18,261,713.86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3.其他权益工具投资公允价值变动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highlight w:val="none"/>
                <w:lang w:val="en-US" w:eastAsia="zh-CN" w:bidi="ar-SA"/>
              </w:rPr>
            </w:pPr>
            <w:r>
              <w:rPr>
                <w:rFonts w:hint="eastAsia" w:ascii="宋体" w:hAnsi="宋体" w:eastAsia="宋体" w:cs="Times New Roman"/>
                <w:kern w:val="2"/>
                <w:sz w:val="18"/>
                <w:szCs w:val="18"/>
                <w:highlight w:val="none"/>
                <w:lang w:val="en-US" w:eastAsia="zh-CN" w:bidi="ar-SA"/>
              </w:rPr>
              <w:t>20</w:t>
            </w:r>
            <w:r>
              <w:rPr>
                <w:rFonts w:hint="eastAsia" w:ascii="宋体" w:hAnsi="宋体" w:cs="Times New Roman"/>
                <w:kern w:val="2"/>
                <w:sz w:val="18"/>
                <w:szCs w:val="18"/>
                <w:highlight w:val="none"/>
                <w:lang w:val="en-US" w:eastAsia="zh-CN" w:bidi="ar-SA"/>
              </w:rPr>
              <w:t>8</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094</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314.06</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highlight w:val="none"/>
                <w:lang w:val="en-US" w:eastAsia="zh-CN" w:bidi="ar-SA"/>
              </w:rPr>
            </w:pPr>
            <w:r>
              <w:rPr>
                <w:rFonts w:hint="eastAsia" w:ascii="宋体" w:hAnsi="宋体" w:eastAsia="宋体" w:cs="Times New Roman"/>
                <w:kern w:val="2"/>
                <w:sz w:val="18"/>
                <w:szCs w:val="18"/>
                <w:highlight w:val="none"/>
                <w:lang w:val="en-US" w:eastAsia="zh-CN" w:bidi="ar-SA"/>
              </w:rPr>
              <w:t>-13,504,201.52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4.企业自身信用风险公允价值变动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5.其他</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（二）将重分类进损益的其他综合收益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-25,288,950.27</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-15,179,262.67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1.权益法下可转损益的其他综合收益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-64,062,546.54</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-1,691,048.54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2.其他债权投资公允价值变动</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2,826,503.12</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-5,405,526.30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☆3.可供出售金融资产公允价值变动损益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4.金融资产重分类计入其他综合收益的金额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☆5.持有至到期投资重分类为可供出售金融资产损益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6.其他债权投资信用减值准备</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7.现金流量套期储备（现金流量套期损益的有效部分）</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8.外币财务报表折算差额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35,947,093.15</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-8,082,687.83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9.其他</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*归属于少数股东的其他综合收益的税后净额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-23,746,640.10</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-134,822,524.75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000000"/>
                <w:sz w:val="22"/>
                <w:szCs w:val="22"/>
                <w:u w:val="none"/>
              </w:rPr>
            </w:pPr>
            <w:r>
              <w:rPr>
                <w:rFonts w:hint="eastAsia" w:ascii="宋体" w:hAnsi="宋体" w:eastAsia="仿宋_GB2312" w:cs="仿宋_GB2312"/>
                <w:b/>
                <w:bCs/>
                <w:i w:val="0"/>
                <w:iCs w:val="0"/>
                <w:color w:val="000000"/>
                <w:kern w:val="0"/>
                <w:sz w:val="22"/>
                <w:szCs w:val="22"/>
                <w:u w:val="none"/>
                <w:lang w:val="en-US" w:eastAsia="zh-CN" w:bidi="ar"/>
              </w:rPr>
              <w:t>七、综合收益总额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highlight w:val="none"/>
                <w:lang w:val="en-US" w:eastAsia="zh-CN" w:bidi="ar-SA"/>
              </w:rPr>
            </w:pPr>
            <w:r>
              <w:rPr>
                <w:rFonts w:hint="eastAsia" w:ascii="宋体" w:hAnsi="宋体" w:eastAsia="宋体" w:cs="Times New Roman"/>
                <w:kern w:val="2"/>
                <w:sz w:val="18"/>
                <w:szCs w:val="18"/>
                <w:highlight w:val="none"/>
                <w:lang w:val="en-US" w:eastAsia="zh-CN" w:bidi="ar-SA"/>
              </w:rPr>
              <w:t>6,6</w:t>
            </w:r>
            <w:r>
              <w:rPr>
                <w:rFonts w:hint="eastAsia" w:ascii="宋体" w:hAnsi="宋体" w:cs="Times New Roman"/>
                <w:kern w:val="2"/>
                <w:sz w:val="18"/>
                <w:szCs w:val="18"/>
                <w:highlight w:val="none"/>
                <w:lang w:val="en-US" w:eastAsia="zh-CN" w:bidi="ar-SA"/>
              </w:rPr>
              <w:t>31</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992</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061</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75</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highlight w:val="none"/>
                <w:lang w:val="en-US" w:eastAsia="zh-CN" w:bidi="ar-SA"/>
              </w:rPr>
            </w:pPr>
            <w:r>
              <w:rPr>
                <w:rFonts w:hint="eastAsia" w:ascii="宋体" w:hAnsi="宋体" w:eastAsia="宋体" w:cs="Times New Roman"/>
                <w:kern w:val="2"/>
                <w:sz w:val="18"/>
                <w:szCs w:val="18"/>
                <w:highlight w:val="none"/>
                <w:lang w:val="en-US" w:eastAsia="zh-CN" w:bidi="ar-SA"/>
              </w:rPr>
              <w:t>4,986,667,203.52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归属于母公司所有者的综合收益总额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highlight w:val="none"/>
                <w:lang w:val="en-US" w:eastAsia="zh-CN" w:bidi="ar-SA"/>
              </w:rPr>
            </w:pPr>
            <w:r>
              <w:rPr>
                <w:rFonts w:hint="eastAsia" w:ascii="宋体" w:hAnsi="宋体" w:eastAsia="宋体" w:cs="Times New Roman"/>
                <w:kern w:val="2"/>
                <w:sz w:val="18"/>
                <w:szCs w:val="18"/>
                <w:highlight w:val="none"/>
                <w:lang w:val="en-US" w:eastAsia="zh-CN" w:bidi="ar-SA"/>
              </w:rPr>
              <w:t>2,8</w:t>
            </w:r>
            <w:r>
              <w:rPr>
                <w:rFonts w:hint="eastAsia" w:ascii="宋体" w:hAnsi="宋体" w:cs="Times New Roman"/>
                <w:kern w:val="2"/>
                <w:sz w:val="18"/>
                <w:szCs w:val="18"/>
                <w:highlight w:val="none"/>
                <w:lang w:val="en-US" w:eastAsia="zh-CN" w:bidi="ar-SA"/>
              </w:rPr>
              <w:t>61</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344</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894</w:t>
            </w:r>
            <w:r>
              <w:rPr>
                <w:rFonts w:hint="eastAsia" w:ascii="宋体" w:hAnsi="宋体" w:eastAsia="宋体" w:cs="Times New Roman"/>
                <w:kern w:val="2"/>
                <w:sz w:val="18"/>
                <w:szCs w:val="18"/>
                <w:highlight w:val="none"/>
                <w:lang w:val="en-US" w:eastAsia="zh-CN" w:bidi="ar-SA"/>
              </w:rPr>
              <w:t>.</w:t>
            </w:r>
            <w:r>
              <w:rPr>
                <w:rFonts w:hint="eastAsia" w:ascii="宋体" w:hAnsi="宋体" w:cs="Times New Roman"/>
                <w:kern w:val="2"/>
                <w:sz w:val="18"/>
                <w:szCs w:val="18"/>
                <w:highlight w:val="none"/>
                <w:lang w:val="en-US" w:eastAsia="zh-CN" w:bidi="ar-SA"/>
              </w:rPr>
              <w:t>33</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highlight w:val="none"/>
                <w:lang w:val="en-US" w:eastAsia="zh-CN" w:bidi="ar-SA"/>
              </w:rPr>
            </w:pPr>
            <w:r>
              <w:rPr>
                <w:rFonts w:hint="eastAsia" w:ascii="宋体" w:hAnsi="宋体" w:eastAsia="宋体" w:cs="Times New Roman"/>
                <w:kern w:val="2"/>
                <w:sz w:val="18"/>
                <w:szCs w:val="18"/>
                <w:highlight w:val="none"/>
                <w:lang w:val="en-US" w:eastAsia="zh-CN" w:bidi="ar-SA"/>
              </w:rPr>
              <w:t>1,674,301,384.42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*归属于少数股东的综合收益总额</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3,770,647,167.42</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spacing w:line="240" w:lineRule="auto"/>
              <w:jc w:val="right"/>
              <w:rPr>
                <w:rFonts w:hint="default" w:ascii="宋体" w:hAnsi="宋体" w:eastAsia="宋体" w:cs="Times New Roman"/>
                <w:kern w:val="2"/>
                <w:sz w:val="18"/>
                <w:szCs w:val="18"/>
                <w:lang w:val="en-US" w:eastAsia="zh-CN" w:bidi="ar-SA"/>
              </w:rPr>
            </w:pPr>
            <w:r>
              <w:rPr>
                <w:rFonts w:hint="eastAsia" w:ascii="宋体" w:hAnsi="宋体" w:eastAsia="宋体" w:cs="Times New Roman"/>
                <w:kern w:val="2"/>
                <w:sz w:val="18"/>
                <w:szCs w:val="18"/>
                <w:lang w:val="en-US" w:eastAsia="zh-CN" w:bidi="ar-SA"/>
              </w:rPr>
              <w:t>3,312,365,819.10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b/>
                <w:bCs/>
                <w:i w:val="0"/>
                <w:iCs w:val="0"/>
                <w:color w:val="000000"/>
                <w:sz w:val="22"/>
                <w:szCs w:val="22"/>
                <w:u w:val="none"/>
              </w:rPr>
            </w:pPr>
            <w:r>
              <w:rPr>
                <w:rFonts w:hint="eastAsia" w:ascii="宋体" w:hAnsi="宋体" w:eastAsia="仿宋_GB2312" w:cs="仿宋_GB2312"/>
                <w:b/>
                <w:bCs/>
                <w:i w:val="0"/>
                <w:iCs w:val="0"/>
                <w:color w:val="000000"/>
                <w:kern w:val="0"/>
                <w:sz w:val="22"/>
                <w:szCs w:val="22"/>
                <w:u w:val="none"/>
                <w:lang w:val="en-US" w:eastAsia="zh-CN" w:bidi="ar"/>
              </w:rPr>
              <w:t>八、每股收益：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t>——</w:t>
            </w:r>
          </w:p>
        </w:tc>
        <w:tc>
          <w:tcPr>
            <w:tcW w:w="214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宋体" w:hAnsi="宋体" w:eastAsia="宋体" w:cs="Times New Roman"/>
                <w:i w:val="0"/>
                <w:iCs w:val="0"/>
                <w:color w:val="000000"/>
                <w:sz w:val="18"/>
                <w:szCs w:val="18"/>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基本每股收益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000000"/>
                <w:sz w:val="18"/>
                <w:szCs w:val="18"/>
                <w:u w:val="none"/>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4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仿宋_GB2312" w:cs="仿宋_GB2312"/>
                <w:i w:val="0"/>
                <w:iCs w:val="0"/>
                <w:color w:val="000000"/>
                <w:sz w:val="22"/>
                <w:szCs w:val="22"/>
                <w:u w:val="none"/>
              </w:rPr>
            </w:pPr>
            <w:r>
              <w:rPr>
                <w:rFonts w:hint="eastAsia" w:ascii="宋体" w:hAnsi="宋体" w:eastAsia="仿宋_GB2312" w:cs="仿宋_GB2312"/>
                <w:i w:val="0"/>
                <w:iCs w:val="0"/>
                <w:color w:val="000000"/>
                <w:kern w:val="0"/>
                <w:sz w:val="22"/>
                <w:szCs w:val="22"/>
                <w:u w:val="none"/>
                <w:lang w:val="en-US" w:eastAsia="zh-CN" w:bidi="ar"/>
              </w:rPr>
              <w:t xml:space="preserve">    稀释每股收益</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2113"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000000"/>
                <w:sz w:val="18"/>
                <w:szCs w:val="18"/>
                <w:u w:val="none"/>
              </w:rPr>
            </w:pPr>
          </w:p>
        </w:tc>
        <w:tc>
          <w:tcPr>
            <w:tcW w:w="2141"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宋体" w:hAnsi="宋体" w:eastAsia="宋体" w:cs="Times New Roman"/>
                <w:i w:val="0"/>
                <w:iCs w:val="0"/>
                <w:color w:val="000000"/>
                <w:sz w:val="18"/>
                <w:szCs w:val="18"/>
                <w:u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sz w:val="32"/>
          <w:szCs w:val="32"/>
          <w:lang w:val="en-US" w:eastAsia="zh-CN"/>
        </w:rPr>
      </w:pPr>
      <w:r>
        <w:rPr>
          <w:rFonts w:hint="eastAsia" w:ascii="宋体" w:hAnsi="宋体" w:eastAsia="楷体_GB2312" w:cs="楷体_GB2312"/>
          <w:sz w:val="32"/>
          <w:szCs w:val="32"/>
          <w:lang w:val="en-US" w:eastAsia="zh-CN"/>
        </w:rPr>
        <w:t>（三）审计报告的意见类型</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山东省港口集团有限公司2022年财务决算审计的中介机构为信永中和会计师事务所(特殊普通合伙)，出具的年度报告审计意见类型为标准无保留意见。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黑体" w:cs="Times New Roman"/>
          <w:sz w:val="32"/>
          <w:szCs w:val="32"/>
          <w:lang w:val="en-US" w:eastAsia="zh-CN"/>
        </w:rPr>
      </w:pPr>
      <w:r>
        <w:rPr>
          <w:rFonts w:hint="eastAsia" w:ascii="宋体" w:hAnsi="宋体" w:eastAsia="黑体" w:cs="Times New Roman"/>
          <w:sz w:val="32"/>
          <w:szCs w:val="32"/>
          <w:lang w:val="en-US" w:eastAsia="zh-CN"/>
        </w:rPr>
        <w:t>三、董事会报告摘要</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sz w:val="32"/>
          <w:szCs w:val="32"/>
          <w:lang w:val="en-US" w:eastAsia="zh-CN"/>
        </w:rPr>
      </w:pPr>
      <w:r>
        <w:rPr>
          <w:rFonts w:hint="eastAsia" w:ascii="宋体" w:hAnsi="宋体" w:eastAsia="楷体_GB2312" w:cs="楷体_GB2312"/>
          <w:sz w:val="32"/>
          <w:szCs w:val="32"/>
          <w:lang w:val="en-US" w:eastAsia="zh-CN"/>
        </w:rPr>
        <w:t>（一）董事会对公司报告期内总体经营情况的分析</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highlight w:val="none"/>
          <w:lang w:val="en-US" w:eastAsia="zh-CN"/>
        </w:rPr>
        <w:t>1.经营情况综述：</w:t>
      </w:r>
      <w:r>
        <w:rPr>
          <w:rFonts w:ascii="宋体" w:hAnsi="宋体" w:eastAsia="仿宋_GB2312" w:cs="Times New Roman"/>
          <w:sz w:val="32"/>
          <w:szCs w:val="32"/>
          <w:highlight w:val="none"/>
        </w:rPr>
        <w:t>全年实现</w:t>
      </w:r>
      <w:r>
        <w:rPr>
          <w:rFonts w:hint="eastAsia" w:ascii="宋体" w:hAnsi="宋体" w:eastAsia="仿宋_GB2312" w:cs="仿宋_GB2312"/>
          <w:color w:val="000000"/>
          <w:sz w:val="32"/>
          <w:szCs w:val="32"/>
        </w:rPr>
        <w:t>营业总收入1</w:t>
      </w:r>
      <w:r>
        <w:rPr>
          <w:rFonts w:hint="eastAsia" w:ascii="宋体" w:hAnsi="宋体" w:eastAsia="仿宋_GB2312" w:cs="仿宋_GB2312"/>
          <w:color w:val="000000"/>
          <w:sz w:val="32"/>
          <w:szCs w:val="32"/>
          <w:highlight w:val="none"/>
          <w:lang w:val="en-US" w:eastAsia="zh-CN"/>
        </w:rPr>
        <w:t>,</w:t>
      </w:r>
      <w:r>
        <w:rPr>
          <w:rFonts w:hint="eastAsia" w:ascii="宋体" w:hAnsi="宋体" w:eastAsia="仿宋_GB2312" w:cs="仿宋_GB2312"/>
          <w:color w:val="000000"/>
          <w:sz w:val="32"/>
          <w:szCs w:val="32"/>
        </w:rPr>
        <w:t>373.86亿元，同比增加535.80亿元，增长63.93%</w:t>
      </w:r>
      <w:r>
        <w:rPr>
          <w:rFonts w:hint="eastAsia" w:ascii="宋体" w:hAnsi="宋体" w:eastAsia="仿宋_GB2312"/>
          <w:sz w:val="32"/>
          <w:szCs w:val="32"/>
        </w:rPr>
        <w:t>；</w:t>
      </w:r>
      <w:r>
        <w:rPr>
          <w:rFonts w:hint="eastAsia" w:ascii="宋体" w:hAnsi="宋体" w:eastAsia="仿宋_GB2312" w:cs="仿宋_GB2312"/>
          <w:sz w:val="32"/>
          <w:szCs w:val="32"/>
        </w:rPr>
        <w:t>实现</w:t>
      </w:r>
      <w:r>
        <w:rPr>
          <w:rFonts w:hint="eastAsia" w:ascii="宋体" w:hAnsi="宋体" w:eastAsia="仿宋_GB2312" w:cs="仿宋_GB2312"/>
          <w:b w:val="0"/>
          <w:bCs w:val="0"/>
          <w:sz w:val="32"/>
          <w:szCs w:val="32"/>
        </w:rPr>
        <w:t>利润总额</w:t>
      </w:r>
      <w:r>
        <w:rPr>
          <w:rFonts w:hint="eastAsia" w:ascii="宋体" w:hAnsi="宋体" w:eastAsia="仿宋_GB2312" w:cs="仿宋_GB2312"/>
          <w:sz w:val="32"/>
          <w:szCs w:val="32"/>
          <w:lang w:val="en-US" w:eastAsia="zh-CN"/>
        </w:rPr>
        <w:t>90.20</w:t>
      </w:r>
      <w:r>
        <w:rPr>
          <w:rFonts w:hint="eastAsia" w:ascii="宋体" w:hAnsi="宋体" w:eastAsia="仿宋_GB2312" w:cs="仿宋_GB2312"/>
          <w:sz w:val="32"/>
          <w:szCs w:val="32"/>
        </w:rPr>
        <w:t>亿元，同比增加</w:t>
      </w:r>
      <w:r>
        <w:rPr>
          <w:rFonts w:hint="eastAsia" w:ascii="宋体" w:hAnsi="宋体" w:eastAsia="仿宋_GB2312" w:cs="仿宋_GB2312"/>
          <w:sz w:val="32"/>
          <w:szCs w:val="32"/>
          <w:lang w:val="en-US" w:eastAsia="zh-CN"/>
        </w:rPr>
        <w:t>14.57</w:t>
      </w:r>
      <w:r>
        <w:rPr>
          <w:rFonts w:hint="eastAsia" w:ascii="宋体" w:hAnsi="宋体" w:eastAsia="仿宋_GB2312" w:cs="仿宋_GB2312"/>
          <w:sz w:val="32"/>
          <w:szCs w:val="32"/>
        </w:rPr>
        <w:t>亿元，增长</w:t>
      </w:r>
      <w:r>
        <w:rPr>
          <w:rFonts w:hint="eastAsia" w:ascii="宋体" w:hAnsi="宋体" w:eastAsia="仿宋_GB2312" w:cs="仿宋_GB2312"/>
          <w:sz w:val="32"/>
          <w:szCs w:val="32"/>
          <w:lang w:val="en-US" w:eastAsia="zh-CN"/>
        </w:rPr>
        <w:t>19.27</w:t>
      </w:r>
      <w:r>
        <w:rPr>
          <w:rFonts w:hint="eastAsia" w:ascii="宋体" w:hAnsi="宋体" w:eastAsia="仿宋_GB2312" w:cs="仿宋_GB2312"/>
          <w:sz w:val="32"/>
          <w:szCs w:val="32"/>
        </w:rPr>
        <w:t>%</w:t>
      </w:r>
      <w:r>
        <w:rPr>
          <w:rFonts w:hint="eastAsia" w:ascii="宋体" w:hAnsi="宋体" w:eastAsia="仿宋_GB2312"/>
          <w:sz w:val="32"/>
          <w:szCs w:val="32"/>
        </w:rPr>
        <w:t>；实现净利润</w:t>
      </w:r>
      <w:r>
        <w:rPr>
          <w:rFonts w:hint="eastAsia" w:ascii="宋体" w:hAnsi="宋体" w:eastAsia="仿宋_GB2312"/>
          <w:sz w:val="32"/>
          <w:szCs w:val="32"/>
          <w:lang w:val="en-US" w:eastAsia="zh-CN"/>
        </w:rPr>
        <w:t>65.14</w:t>
      </w:r>
      <w:r>
        <w:rPr>
          <w:rFonts w:hint="eastAsia" w:ascii="宋体" w:hAnsi="宋体" w:eastAsia="仿宋_GB2312"/>
          <w:sz w:val="32"/>
          <w:szCs w:val="32"/>
        </w:rPr>
        <w:t>亿元，同比增加</w:t>
      </w:r>
      <w:r>
        <w:rPr>
          <w:rFonts w:hint="eastAsia" w:ascii="宋体" w:hAnsi="宋体" w:eastAsia="仿宋_GB2312" w:cs="仿宋_GB2312"/>
          <w:sz w:val="32"/>
          <w:szCs w:val="32"/>
        </w:rPr>
        <w:t>12.42亿元，增长23.56%。</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highlight w:val="none"/>
          <w:u w:val="none"/>
          <w:lang w:val="en-US" w:eastAsia="zh-CN"/>
        </w:rPr>
      </w:pPr>
      <w:r>
        <w:rPr>
          <w:rFonts w:hint="eastAsia" w:ascii="宋体" w:hAnsi="宋体" w:eastAsia="仿宋_GB2312" w:cs="仿宋_GB2312"/>
          <w:sz w:val="32"/>
          <w:szCs w:val="32"/>
          <w:highlight w:val="none"/>
          <w:lang w:val="en-US" w:eastAsia="zh-CN"/>
        </w:rPr>
        <w:t>2.资产负债情况分析：</w:t>
      </w:r>
      <w:r>
        <w:rPr>
          <w:rFonts w:hint="eastAsia" w:ascii="宋体" w:hAnsi="宋体" w:eastAsia="仿宋_GB2312"/>
          <w:sz w:val="32"/>
          <w:szCs w:val="32"/>
        </w:rPr>
        <w:t>资产总额</w:t>
      </w:r>
      <w:r>
        <w:rPr>
          <w:rFonts w:hint="eastAsia" w:ascii="宋体" w:hAnsi="宋体" w:eastAsia="仿宋_GB2312" w:cs="仿宋_GB2312"/>
          <w:sz w:val="32"/>
          <w:szCs w:val="32"/>
        </w:rPr>
        <w:t>2</w:t>
      </w:r>
      <w:r>
        <w:rPr>
          <w:rFonts w:hint="eastAsia" w:ascii="宋体" w:hAnsi="宋体" w:eastAsia="仿宋_GB2312" w:cs="仿宋_GB2312"/>
          <w:color w:val="000000"/>
          <w:sz w:val="32"/>
          <w:szCs w:val="32"/>
          <w:highlight w:val="none"/>
          <w:lang w:val="en-US" w:eastAsia="zh-CN"/>
        </w:rPr>
        <w:t>,</w:t>
      </w:r>
      <w:r>
        <w:rPr>
          <w:rFonts w:hint="eastAsia" w:ascii="宋体" w:hAnsi="宋体" w:eastAsia="仿宋_GB2312" w:cs="仿宋_GB2312"/>
          <w:sz w:val="32"/>
          <w:szCs w:val="32"/>
        </w:rPr>
        <w:t>520.40</w:t>
      </w:r>
      <w:r>
        <w:rPr>
          <w:rFonts w:hint="eastAsia" w:ascii="宋体" w:hAnsi="宋体" w:eastAsia="仿宋_GB2312" w:cs="仿宋_GB2312"/>
          <w:color w:val="000000"/>
          <w:sz w:val="32"/>
          <w:szCs w:val="32"/>
        </w:rPr>
        <w:t>亿元，</w:t>
      </w:r>
      <w:r>
        <w:rPr>
          <w:rFonts w:hint="eastAsia" w:ascii="宋体" w:hAnsi="宋体" w:eastAsia="仿宋_GB2312" w:cs="仿宋_GB2312"/>
          <w:sz w:val="32"/>
          <w:szCs w:val="32"/>
        </w:rPr>
        <w:t>较年初增加201.12亿元，增长8.67%</w:t>
      </w:r>
      <w:r>
        <w:rPr>
          <w:rFonts w:hint="eastAsia" w:ascii="宋体" w:hAnsi="宋体" w:eastAsia="仿宋_GB2312"/>
          <w:sz w:val="32"/>
          <w:szCs w:val="32"/>
        </w:rPr>
        <w:t>；</w:t>
      </w:r>
      <w:r>
        <w:rPr>
          <w:rFonts w:hint="eastAsia" w:ascii="宋体" w:hAnsi="宋体" w:eastAsia="仿宋_GB2312" w:cs="仿宋_GB2312"/>
          <w:sz w:val="32"/>
          <w:szCs w:val="32"/>
        </w:rPr>
        <w:t>负债总额1470.68亿元，较年初增</w:t>
      </w:r>
      <w:r>
        <w:rPr>
          <w:rFonts w:hint="eastAsia" w:ascii="宋体" w:hAnsi="宋体" w:eastAsia="仿宋_GB2312" w:cs="仿宋_GB2312"/>
          <w:sz w:val="32"/>
          <w:szCs w:val="32"/>
          <w:u w:val="none"/>
        </w:rPr>
        <w:t>加158.74亿元，增长12.10%；</w:t>
      </w:r>
      <w:r>
        <w:rPr>
          <w:rFonts w:hint="eastAsia" w:ascii="宋体" w:hAnsi="宋体" w:eastAsia="仿宋_GB2312" w:cs="仿宋_GB2312"/>
          <w:sz w:val="32"/>
          <w:szCs w:val="32"/>
          <w:highlight w:val="none"/>
          <w:u w:val="none"/>
          <w:lang w:val="en-US" w:eastAsia="zh-CN"/>
        </w:rPr>
        <w:t>资产负债率</w:t>
      </w:r>
      <w:r>
        <w:rPr>
          <w:rFonts w:hint="eastAsia" w:ascii="宋体" w:hAnsi="宋体" w:eastAsia="仿宋_GB2312" w:cs="仿宋_GB2312"/>
          <w:sz w:val="32"/>
          <w:szCs w:val="32"/>
          <w:u w:val="none"/>
        </w:rPr>
        <w:t>58.35%</w:t>
      </w:r>
      <w:r>
        <w:rPr>
          <w:rFonts w:hint="eastAsia" w:ascii="宋体" w:hAnsi="宋体" w:eastAsia="仿宋_GB2312" w:cs="仿宋_GB2312"/>
          <w:sz w:val="32"/>
          <w:szCs w:val="32"/>
          <w:highlight w:val="none"/>
          <w:u w:val="none"/>
          <w:lang w:val="en-US" w:eastAsia="zh-CN"/>
        </w:rPr>
        <w:t>。截止2022年12月31日，存续债券余额239.66亿元（含永续票据），2022年新发行债券130亿元，归还债券172.9亿元。</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u w:val="none"/>
          <w:lang w:val="en-US" w:eastAsia="zh-CN"/>
        </w:rPr>
      </w:pPr>
      <w:r>
        <w:rPr>
          <w:rFonts w:hint="eastAsia" w:ascii="宋体" w:hAnsi="宋体" w:eastAsia="楷体_GB2312" w:cs="楷体_GB2312"/>
          <w:color w:val="auto"/>
          <w:sz w:val="32"/>
          <w:szCs w:val="32"/>
          <w:u w:val="none"/>
          <w:lang w:val="en-US" w:eastAsia="zh-CN"/>
        </w:rPr>
        <w:t>（二）企业发展情况</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u w:val="none"/>
          <w:lang w:eastAsia="zh-CN"/>
        </w:rPr>
      </w:pPr>
      <w:r>
        <w:rPr>
          <w:rFonts w:hint="eastAsia" w:ascii="宋体" w:hAnsi="宋体" w:eastAsia="楷体_GB2312" w:cs="楷体_GB2312"/>
          <w:b w:val="0"/>
          <w:bCs w:val="0"/>
          <w:color w:val="auto"/>
          <w:sz w:val="32"/>
          <w:szCs w:val="32"/>
          <w:highlight w:val="none"/>
          <w:u w:val="none"/>
          <w:lang w:val="en-US" w:eastAsia="zh-CN"/>
        </w:rPr>
        <w:t>1.</w:t>
      </w:r>
      <w:r>
        <w:rPr>
          <w:rFonts w:hint="eastAsia" w:ascii="宋体" w:hAnsi="宋体" w:eastAsia="仿宋_GB2312" w:cs="仿宋_GB2312"/>
          <w:b w:val="0"/>
          <w:bCs w:val="0"/>
          <w:color w:val="auto"/>
          <w:sz w:val="32"/>
          <w:szCs w:val="32"/>
          <w:highlight w:val="none"/>
          <w:u w:val="none"/>
        </w:rPr>
        <w:t>主要指标量效齐增</w:t>
      </w:r>
      <w:r>
        <w:rPr>
          <w:rFonts w:hint="eastAsia" w:ascii="宋体" w:hAnsi="宋体" w:eastAsia="仿宋_GB2312" w:cs="仿宋_GB2312"/>
          <w:b w:val="0"/>
          <w:bCs w:val="0"/>
          <w:color w:val="auto"/>
          <w:sz w:val="32"/>
          <w:szCs w:val="32"/>
          <w:highlight w:val="none"/>
          <w:u w:val="none"/>
          <w:lang w:eastAsia="zh-CN"/>
        </w:rPr>
        <w:t>。</w:t>
      </w:r>
      <w:r>
        <w:rPr>
          <w:rFonts w:hint="eastAsia" w:ascii="宋体" w:hAnsi="宋体" w:eastAsia="仿宋_GB2312"/>
          <w:color w:val="auto"/>
          <w:sz w:val="32"/>
          <w:szCs w:val="32"/>
          <w:highlight w:val="none"/>
          <w:u w:val="none"/>
        </w:rPr>
        <w:t>202</w:t>
      </w:r>
      <w:r>
        <w:rPr>
          <w:rFonts w:hint="eastAsia" w:ascii="宋体" w:hAnsi="宋体" w:eastAsia="仿宋_GB2312"/>
          <w:color w:val="auto"/>
          <w:sz w:val="32"/>
          <w:szCs w:val="32"/>
          <w:highlight w:val="none"/>
          <w:u w:val="none"/>
          <w:lang w:val="en-US" w:eastAsia="zh-CN"/>
        </w:rPr>
        <w:t>2</w:t>
      </w:r>
      <w:r>
        <w:rPr>
          <w:rFonts w:hint="eastAsia" w:ascii="宋体" w:hAnsi="宋体" w:eastAsia="仿宋_GB2312"/>
          <w:color w:val="auto"/>
          <w:sz w:val="32"/>
          <w:szCs w:val="32"/>
          <w:highlight w:val="none"/>
          <w:u w:val="none"/>
        </w:rPr>
        <w:t>年</w:t>
      </w:r>
      <w:r>
        <w:rPr>
          <w:rFonts w:hint="eastAsia" w:ascii="宋体" w:hAnsi="宋体" w:eastAsia="仿宋_GB2312" w:cs="仿宋_GB2312"/>
          <w:color w:val="auto"/>
          <w:sz w:val="32"/>
          <w:szCs w:val="32"/>
          <w:highlight w:val="none"/>
          <w:u w:val="none"/>
        </w:rPr>
        <w:t>集团公司</w:t>
      </w:r>
      <w:r>
        <w:rPr>
          <w:rFonts w:hint="eastAsia" w:ascii="宋体" w:hAnsi="宋体" w:eastAsia="仿宋_GB2312"/>
          <w:color w:val="auto"/>
          <w:sz w:val="32"/>
          <w:szCs w:val="32"/>
          <w:u w:val="none"/>
        </w:rPr>
        <w:t>完成货物吞吐量16.2</w:t>
      </w:r>
      <w:r>
        <w:rPr>
          <w:rFonts w:ascii="宋体" w:hAnsi="宋体" w:eastAsia="仿宋_GB2312"/>
          <w:color w:val="auto"/>
          <w:sz w:val="32"/>
          <w:szCs w:val="32"/>
          <w:u w:val="none"/>
        </w:rPr>
        <w:t>4</w:t>
      </w:r>
      <w:r>
        <w:rPr>
          <w:rFonts w:hint="eastAsia" w:ascii="宋体" w:hAnsi="宋体" w:eastAsia="仿宋_GB2312"/>
          <w:color w:val="auto"/>
          <w:sz w:val="32"/>
          <w:szCs w:val="32"/>
          <w:u w:val="none"/>
        </w:rPr>
        <w:t>亿吨，同比增长7.7%，集装箱完成37</w:t>
      </w:r>
      <w:r>
        <w:rPr>
          <w:rFonts w:ascii="宋体" w:hAnsi="宋体" w:eastAsia="仿宋_GB2312"/>
          <w:color w:val="auto"/>
          <w:sz w:val="32"/>
          <w:szCs w:val="32"/>
          <w:u w:val="none"/>
        </w:rPr>
        <w:t>29</w:t>
      </w:r>
      <w:r>
        <w:rPr>
          <w:rFonts w:hint="eastAsia" w:ascii="宋体" w:hAnsi="宋体" w:eastAsia="仿宋_GB2312"/>
          <w:color w:val="auto"/>
          <w:sz w:val="32"/>
          <w:szCs w:val="32"/>
          <w:u w:val="none"/>
        </w:rPr>
        <w:t>万标箱，同比增长9.</w:t>
      </w:r>
      <w:r>
        <w:rPr>
          <w:rFonts w:ascii="宋体" w:hAnsi="宋体" w:eastAsia="仿宋_GB2312"/>
          <w:color w:val="auto"/>
          <w:sz w:val="32"/>
          <w:szCs w:val="32"/>
          <w:u w:val="none"/>
        </w:rPr>
        <w:t>4</w:t>
      </w:r>
      <w:r>
        <w:rPr>
          <w:rFonts w:hint="eastAsia" w:ascii="宋体" w:hAnsi="宋体" w:eastAsia="仿宋_GB2312"/>
          <w:color w:val="auto"/>
          <w:sz w:val="32"/>
          <w:szCs w:val="32"/>
          <w:u w:val="none"/>
        </w:rPr>
        <w:t>%，总量继续稳居全球第一、三位</w:t>
      </w:r>
      <w:r>
        <w:rPr>
          <w:rFonts w:hint="eastAsia" w:ascii="宋体" w:hAnsi="宋体" w:eastAsia="仿宋_GB2312"/>
          <w:color w:val="auto"/>
          <w:sz w:val="32"/>
          <w:szCs w:val="32"/>
          <w:u w:val="none"/>
          <w:lang w:eastAsia="zh-CN"/>
        </w:rPr>
        <w:t>。</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u w:val="none"/>
        </w:rPr>
      </w:pPr>
      <w:r>
        <w:rPr>
          <w:rFonts w:hint="eastAsia" w:ascii="宋体" w:hAnsi="宋体" w:eastAsia="仿宋_GB2312" w:cs="仿宋_GB2312"/>
          <w:b w:val="0"/>
          <w:bCs w:val="0"/>
          <w:color w:val="auto"/>
          <w:sz w:val="32"/>
          <w:szCs w:val="32"/>
          <w:highlight w:val="none"/>
          <w:u w:val="none"/>
          <w:lang w:val="en-US" w:eastAsia="zh-CN"/>
        </w:rPr>
        <w:t>2.</w:t>
      </w:r>
      <w:r>
        <w:rPr>
          <w:rFonts w:hint="eastAsia" w:ascii="宋体" w:hAnsi="宋体" w:eastAsia="仿宋_GB2312" w:cs="仿宋_GB2312"/>
          <w:b w:val="0"/>
          <w:bCs w:val="0"/>
          <w:color w:val="auto"/>
          <w:sz w:val="32"/>
          <w:szCs w:val="32"/>
          <w:highlight w:val="none"/>
          <w:u w:val="none"/>
        </w:rPr>
        <w:t>年度计划有力推进。</w:t>
      </w:r>
      <w:r>
        <w:rPr>
          <w:rFonts w:hint="eastAsia" w:ascii="宋体" w:hAnsi="宋体" w:eastAsia="仿宋_GB2312"/>
          <w:color w:val="auto"/>
          <w:sz w:val="32"/>
          <w:szCs w:val="32"/>
          <w:u w:val="none"/>
          <w:lang w:val="en-US" w:eastAsia="zh-CN"/>
        </w:rPr>
        <w:t>全年</w:t>
      </w:r>
      <w:r>
        <w:rPr>
          <w:rFonts w:hint="eastAsia" w:ascii="宋体" w:hAnsi="宋体" w:eastAsia="仿宋_GB2312" w:cs="仿宋_GB2312"/>
          <w:b w:val="0"/>
          <w:bCs w:val="0"/>
          <w:color w:val="auto"/>
          <w:sz w:val="32"/>
          <w:szCs w:val="32"/>
          <w:highlight w:val="none"/>
          <w:u w:val="none"/>
        </w:rPr>
        <w:t>实际完成投资总额409.11亿元，占年度投资计划的102%。2022年完成营业收入1373.9亿元，预算完成率124.9%，实现利润总额90.2亿元，预算完成率100.6%。</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u w:val="none"/>
        </w:rPr>
      </w:pPr>
      <w:r>
        <w:rPr>
          <w:rFonts w:hint="eastAsia" w:ascii="宋体" w:hAnsi="宋体" w:eastAsia="仿宋_GB2312" w:cs="仿宋_GB2312"/>
          <w:b w:val="0"/>
          <w:bCs w:val="0"/>
          <w:color w:val="auto"/>
          <w:sz w:val="32"/>
          <w:szCs w:val="32"/>
          <w:highlight w:val="none"/>
          <w:u w:val="none"/>
          <w:lang w:val="en-US" w:eastAsia="zh-CN"/>
        </w:rPr>
        <w:t>3.港口建设加快推进</w:t>
      </w:r>
      <w:r>
        <w:rPr>
          <w:rFonts w:hint="eastAsia" w:ascii="宋体" w:hAnsi="宋体" w:eastAsia="仿宋_GB2312" w:cs="仿宋_GB2312"/>
          <w:b w:val="0"/>
          <w:bCs w:val="0"/>
          <w:color w:val="auto"/>
          <w:sz w:val="32"/>
          <w:szCs w:val="32"/>
          <w:highlight w:val="none"/>
          <w:u w:val="none"/>
        </w:rPr>
        <w:t>。</w:t>
      </w:r>
      <w:r>
        <w:rPr>
          <w:rFonts w:hint="eastAsia" w:ascii="宋体" w:hAnsi="宋体" w:eastAsia="仿宋_GB2312"/>
          <w:color w:val="auto"/>
          <w:sz w:val="32"/>
          <w:szCs w:val="32"/>
          <w:u w:val="none"/>
        </w:rPr>
        <w:t>2022年建成泊位6个，新增年设计通过能力超3000万吨</w:t>
      </w:r>
      <w:r>
        <w:rPr>
          <w:rFonts w:hint="eastAsia" w:ascii="宋体" w:hAnsi="宋体" w:eastAsia="仿宋_GB2312"/>
          <w:color w:val="auto"/>
          <w:sz w:val="32"/>
          <w:szCs w:val="32"/>
          <w:u w:val="none"/>
          <w:lang w:eastAsia="zh-CN"/>
        </w:rPr>
        <w:t>，</w:t>
      </w:r>
      <w:r>
        <w:rPr>
          <w:rFonts w:hint="eastAsia" w:ascii="宋体" w:hAnsi="宋体" w:eastAsia="仿宋_GB2312"/>
          <w:color w:val="auto"/>
          <w:sz w:val="32"/>
          <w:szCs w:val="32"/>
          <w:u w:val="none"/>
        </w:rPr>
        <w:t>新增原油长输管线年输送能力2000万吨。</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u w:val="none"/>
          <w:lang w:val="en-US" w:eastAsia="zh-CN"/>
        </w:rPr>
      </w:pPr>
      <w:r>
        <w:rPr>
          <w:rFonts w:hint="eastAsia" w:ascii="宋体" w:hAnsi="宋体" w:eastAsia="楷体_GB2312" w:cs="楷体_GB2312"/>
          <w:color w:val="auto"/>
          <w:sz w:val="32"/>
          <w:szCs w:val="32"/>
          <w:u w:val="none"/>
          <w:lang w:val="en-US" w:eastAsia="zh-CN"/>
        </w:rPr>
        <w:t>（三）国企改革三年行动完成情况</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u w:val="none"/>
          <w:lang w:val="en-US" w:eastAsia="zh-CN"/>
        </w:rPr>
      </w:pPr>
      <w:r>
        <w:rPr>
          <w:rFonts w:hint="eastAsia" w:ascii="宋体" w:hAnsi="宋体" w:eastAsia="仿宋_GB2312" w:cs="仿宋_GB2312"/>
          <w:color w:val="auto"/>
          <w:sz w:val="32"/>
          <w:szCs w:val="32"/>
          <w:highlight w:val="none"/>
          <w:u w:val="none"/>
          <w:lang w:val="en-US" w:eastAsia="zh-CN"/>
        </w:rPr>
        <w:t>改革实践成果丰硕，“1+4+12”一体化改革模式先后被授予“山东省企业管理创新成果奖”“全国国企管理创新成果奖”“中国企业改革发展优秀成果一等奖”，集团公司一体化改革经验先后两次在国务院国资委专题会上作典型交流发言，并受邀在国务院国企改革三年行动质效评价课题组调研中作经验分享。</w:t>
      </w:r>
    </w:p>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宋体" w:hAnsi="宋体" w:eastAsia="黑体"/>
          <w:b w:val="0"/>
          <w:bCs w:val="0"/>
          <w:color w:val="auto"/>
          <w:sz w:val="32"/>
          <w:szCs w:val="32"/>
          <w:u w:val="none"/>
        </w:rPr>
      </w:pPr>
      <w:r>
        <w:rPr>
          <w:rFonts w:hint="eastAsia" w:ascii="宋体" w:hAnsi="宋体" w:eastAsia="黑体"/>
          <w:b w:val="0"/>
          <w:bCs w:val="0"/>
          <w:color w:val="auto"/>
          <w:sz w:val="32"/>
          <w:szCs w:val="32"/>
          <w:u w:val="none"/>
        </w:rPr>
        <w:t>四、</w:t>
      </w:r>
      <w:bookmarkStart w:id="1" w:name="_Hlk75542285"/>
      <w:r>
        <w:rPr>
          <w:rFonts w:hint="eastAsia" w:ascii="宋体" w:hAnsi="宋体" w:eastAsia="黑体"/>
          <w:b w:val="0"/>
          <w:bCs w:val="0"/>
          <w:color w:val="auto"/>
          <w:sz w:val="32"/>
          <w:szCs w:val="32"/>
          <w:u w:val="none"/>
        </w:rPr>
        <w:t>集团董事、监事、高级管理人员的任职</w:t>
      </w:r>
      <w:bookmarkEnd w:id="1"/>
      <w:r>
        <w:rPr>
          <w:rFonts w:hint="eastAsia" w:ascii="宋体" w:hAnsi="宋体" w:eastAsia="黑体"/>
          <w:b w:val="0"/>
          <w:bCs w:val="0"/>
          <w:color w:val="auto"/>
          <w:sz w:val="32"/>
          <w:szCs w:val="32"/>
          <w:u w:val="none"/>
        </w:rPr>
        <w:t>和</w:t>
      </w:r>
      <w:bookmarkStart w:id="2" w:name="_Hlk75542371"/>
      <w:r>
        <w:rPr>
          <w:rFonts w:hint="eastAsia" w:ascii="宋体" w:hAnsi="宋体" w:eastAsia="黑体"/>
          <w:b w:val="0"/>
          <w:bCs w:val="0"/>
          <w:color w:val="auto"/>
          <w:sz w:val="32"/>
          <w:szCs w:val="32"/>
          <w:u w:val="none"/>
        </w:rPr>
        <w:t>薪酬</w:t>
      </w:r>
      <w:bookmarkEnd w:id="2"/>
      <w:r>
        <w:rPr>
          <w:rFonts w:hint="eastAsia" w:ascii="宋体" w:hAnsi="宋体" w:eastAsia="黑体"/>
          <w:b w:val="0"/>
          <w:bCs w:val="0"/>
          <w:color w:val="auto"/>
          <w:sz w:val="32"/>
          <w:szCs w:val="32"/>
          <w:u w:val="none"/>
        </w:rPr>
        <w:t>情况、</w:t>
      </w:r>
      <w:bookmarkStart w:id="3" w:name="_Hlk75542454"/>
      <w:r>
        <w:rPr>
          <w:rFonts w:hint="eastAsia" w:ascii="宋体" w:hAnsi="宋体" w:eastAsia="黑体"/>
          <w:b w:val="0"/>
          <w:bCs w:val="0"/>
          <w:color w:val="auto"/>
          <w:sz w:val="32"/>
          <w:szCs w:val="32"/>
          <w:u w:val="none"/>
        </w:rPr>
        <w:t>经营业绩考核结果</w:t>
      </w:r>
      <w:bookmarkEnd w:id="3"/>
      <w:r>
        <w:rPr>
          <w:rFonts w:hint="eastAsia" w:ascii="宋体" w:hAnsi="宋体" w:eastAsia="黑体"/>
          <w:b w:val="0"/>
          <w:bCs w:val="0"/>
          <w:color w:val="auto"/>
          <w:sz w:val="32"/>
          <w:szCs w:val="32"/>
          <w:u w:val="none"/>
        </w:rPr>
        <w:t>情况、企业领导人员经济责任履职情况</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u w:val="none"/>
          <w:lang w:val="en-US" w:eastAsia="zh-CN"/>
        </w:rPr>
      </w:pPr>
      <w:r>
        <w:rPr>
          <w:rFonts w:hint="eastAsia" w:ascii="宋体" w:hAnsi="宋体" w:eastAsia="楷体_GB2312" w:cs="楷体_GB2312"/>
          <w:color w:val="auto"/>
          <w:sz w:val="32"/>
          <w:szCs w:val="32"/>
          <w:u w:val="none"/>
          <w:lang w:val="en-US" w:eastAsia="zh-CN"/>
        </w:rPr>
        <w:t>（一）集团董事、监事、高级管理人员任职和薪酬情况</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u w:val="none"/>
          <w:lang w:val="en-US" w:eastAsia="zh-CN"/>
        </w:rPr>
      </w:pPr>
      <w:r>
        <w:rPr>
          <w:rFonts w:hint="eastAsia" w:ascii="宋体" w:hAnsi="宋体" w:eastAsia="仿宋_GB2312" w:cs="仿宋_GB2312"/>
          <w:color w:val="auto"/>
          <w:sz w:val="32"/>
          <w:szCs w:val="32"/>
          <w:highlight w:val="none"/>
          <w:u w:val="none"/>
          <w:lang w:val="en-US" w:eastAsia="zh-CN"/>
        </w:rPr>
        <w:t>省国资委尚未核定企业负责人报告期内薪酬，待核定后及时公开</w:t>
      </w:r>
      <w:r>
        <w:rPr>
          <w:rFonts w:hint="eastAsia" w:ascii="宋体" w:hAnsi="宋体" w:eastAsia="仿宋_GB2312" w:cs="仿宋_GB2312"/>
          <w:color w:val="auto"/>
          <w:sz w:val="32"/>
          <w:szCs w:val="32"/>
          <w:highlight w:val="none"/>
          <w:u w:val="none"/>
          <w:lang w:val="en-US" w:eastAsia="zh-CN"/>
        </w:rPr>
        <w:t>。</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u w:val="none"/>
          <w:lang w:val="en-US" w:eastAsia="zh-CN"/>
        </w:rPr>
      </w:pPr>
      <w:r>
        <w:rPr>
          <w:rFonts w:hint="eastAsia" w:ascii="宋体" w:hAnsi="宋体" w:eastAsia="楷体_GB2312" w:cs="楷体_GB2312"/>
          <w:color w:val="auto"/>
          <w:sz w:val="32"/>
          <w:szCs w:val="32"/>
          <w:u w:val="none"/>
          <w:lang w:val="en-US" w:eastAsia="zh-CN"/>
        </w:rPr>
        <w:t>（二）经营业绩考核结果情况</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u w:val="none"/>
          <w:lang w:val="en-US" w:eastAsia="zh-CN"/>
        </w:rPr>
      </w:pPr>
      <w:r>
        <w:rPr>
          <w:rFonts w:hint="eastAsia" w:ascii="宋体" w:hAnsi="宋体" w:eastAsia="仿宋_GB2312" w:cs="仿宋_GB2312"/>
          <w:color w:val="auto"/>
          <w:sz w:val="32"/>
          <w:szCs w:val="32"/>
          <w:highlight w:val="none"/>
          <w:u w:val="none"/>
          <w:lang w:val="en-US" w:eastAsia="zh-CN"/>
        </w:rPr>
        <w:t>省国资委尚未公布省管企业负责人2022年度绩效考核结果</w:t>
      </w:r>
      <w:r>
        <w:rPr>
          <w:rFonts w:hint="eastAsia" w:ascii="宋体" w:hAnsi="宋体" w:eastAsia="仿宋_GB2312" w:cs="仿宋_GB2312"/>
          <w:color w:val="auto"/>
          <w:sz w:val="32"/>
          <w:szCs w:val="32"/>
          <w:highlight w:val="none"/>
          <w:u w:val="none"/>
          <w:lang w:val="en-US" w:eastAsia="zh-CN"/>
        </w:rPr>
        <w:t>。</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u w:val="none"/>
          <w:lang w:val="en-US" w:eastAsia="zh-CN"/>
        </w:rPr>
      </w:pPr>
      <w:r>
        <w:rPr>
          <w:rFonts w:hint="eastAsia" w:ascii="宋体" w:hAnsi="宋体" w:eastAsia="楷体_GB2312" w:cs="楷体_GB2312"/>
          <w:color w:val="auto"/>
          <w:sz w:val="32"/>
          <w:szCs w:val="32"/>
          <w:u w:val="none"/>
          <w:lang w:val="en-US" w:eastAsia="zh-CN"/>
        </w:rPr>
        <w:t>（三）企业领导人员经济责任履职情况</w:t>
      </w:r>
    </w:p>
    <w:p>
      <w:pPr>
        <w:spacing w:line="600" w:lineRule="exact"/>
        <w:ind w:firstLine="640" w:firstLineChars="200"/>
        <w:rPr>
          <w:rFonts w:hint="eastAsia" w:eastAsia="仿宋_GB2312"/>
          <w:sz w:val="32"/>
          <w:szCs w:val="32"/>
        </w:rPr>
      </w:pPr>
      <w:r>
        <w:rPr>
          <w:rFonts w:hint="eastAsia" w:eastAsia="仿宋_GB2312"/>
          <w:sz w:val="32"/>
          <w:szCs w:val="32"/>
        </w:rPr>
        <w:t>报告期内无审计、国资、财政等有关部门对企业领导人员开展经济责任审计或对其审计、检查情况。</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黑体" w:cs="Times New Roman"/>
          <w:sz w:val="32"/>
          <w:szCs w:val="32"/>
          <w:highlight w:val="none"/>
          <w:u w:val="none"/>
          <w:lang w:val="en-US" w:eastAsia="zh-CN"/>
        </w:rPr>
      </w:pPr>
      <w:r>
        <w:rPr>
          <w:rFonts w:hint="eastAsia" w:ascii="宋体" w:hAnsi="宋体" w:eastAsia="黑体" w:cs="Times New Roman"/>
          <w:sz w:val="32"/>
          <w:szCs w:val="32"/>
          <w:highlight w:val="none"/>
          <w:u w:val="none"/>
          <w:lang w:val="en-US" w:eastAsia="zh-CN"/>
        </w:rPr>
        <w:t>五、政府扶持政策的信息</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highlight w:val="none"/>
          <w:u w:val="none"/>
          <w:lang w:val="en-US" w:eastAsia="zh-CN"/>
        </w:rPr>
      </w:pPr>
      <w:r>
        <w:rPr>
          <w:rFonts w:hint="eastAsia" w:ascii="宋体" w:hAnsi="宋体" w:eastAsia="仿宋_GB2312" w:cs="仿宋_GB2312"/>
          <w:sz w:val="32"/>
          <w:szCs w:val="32"/>
          <w:highlight w:val="none"/>
          <w:u w:val="none"/>
          <w:lang w:val="en-US" w:eastAsia="zh-CN"/>
        </w:rPr>
        <w:t xml:space="preserve">报告期内，山东省港口集团及其子公司其他收益中列示的财政补贴共计3.86亿元,营业外收入中列示的政府补助为0.07亿元。 </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黑体" w:cs="Times New Roman"/>
          <w:sz w:val="32"/>
          <w:szCs w:val="32"/>
          <w:highlight w:val="none"/>
          <w:lang w:val="en-US" w:eastAsia="zh-CN"/>
        </w:rPr>
      </w:pPr>
      <w:r>
        <w:rPr>
          <w:rFonts w:hint="eastAsia" w:ascii="宋体" w:hAnsi="宋体" w:eastAsia="黑体" w:cs="Times New Roman"/>
          <w:sz w:val="32"/>
          <w:szCs w:val="32"/>
          <w:highlight w:val="none"/>
          <w:lang w:val="en-US" w:eastAsia="zh-CN"/>
        </w:rPr>
        <w:t>六、重要事项</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rPr>
      </w:pPr>
      <w:r>
        <w:rPr>
          <w:rFonts w:hint="eastAsia" w:ascii="宋体" w:hAnsi="宋体" w:eastAsia="楷体_GB2312" w:cs="楷体_GB2312"/>
          <w:color w:val="auto"/>
          <w:sz w:val="32"/>
          <w:szCs w:val="32"/>
        </w:rPr>
        <w:t>（</w:t>
      </w:r>
      <w:r>
        <w:rPr>
          <w:rFonts w:hint="eastAsia" w:ascii="宋体" w:hAnsi="宋体" w:eastAsia="楷体_GB2312" w:cs="楷体_GB2312"/>
          <w:color w:val="auto"/>
          <w:sz w:val="32"/>
          <w:szCs w:val="32"/>
          <w:lang w:val="en-US" w:eastAsia="zh-CN"/>
        </w:rPr>
        <w:t>一</w:t>
      </w:r>
      <w:r>
        <w:rPr>
          <w:rFonts w:hint="eastAsia" w:ascii="宋体" w:hAnsi="宋体" w:eastAsia="楷体_GB2312" w:cs="楷体_GB2312"/>
          <w:color w:val="auto"/>
          <w:sz w:val="32"/>
          <w:szCs w:val="32"/>
        </w:rPr>
        <w:t xml:space="preserve">）报告期内发生的重大事项及对企业的影响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宋体" w:hAnsi="宋体" w:eastAsia="仿宋_GB2312" w:cs="仿宋_GB2312"/>
          <w:color w:val="auto"/>
          <w:sz w:val="32"/>
          <w:szCs w:val="32"/>
        </w:rPr>
      </w:pPr>
      <w:r>
        <w:rPr>
          <w:rFonts w:hint="eastAsia" w:ascii="宋体" w:hAnsi="宋体" w:eastAsia="仿宋_GB2312" w:cs="仿宋_GB2312"/>
          <w:color w:val="auto"/>
          <w:sz w:val="32"/>
          <w:szCs w:val="32"/>
          <w:lang w:val="en-US" w:eastAsia="zh-CN"/>
        </w:rPr>
        <w:t>无此类事项</w:t>
      </w:r>
      <w:r>
        <w:rPr>
          <w:rFonts w:ascii="宋体" w:hAnsi="宋体" w:eastAsia="仿宋_GB2312" w:cs="仿宋_GB2312"/>
          <w:color w:val="auto"/>
          <w:sz w:val="32"/>
          <w:szCs w:val="32"/>
        </w:rPr>
        <w:t>。</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楷体_GB2312" w:cs="楷体_GB2312"/>
          <w:color w:val="auto"/>
          <w:sz w:val="32"/>
          <w:szCs w:val="32"/>
          <w:highlight w:val="none"/>
          <w:lang w:val="en-US" w:eastAsia="zh-CN"/>
        </w:rPr>
        <w:t>“三重一大”有关事项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color w:val="auto"/>
          <w:sz w:val="32"/>
          <w:szCs w:val="32"/>
          <w:u w:val="none"/>
          <w:lang w:val="en-US" w:eastAsia="zh-CN"/>
        </w:rPr>
      </w:pPr>
      <w:r>
        <w:rPr>
          <w:rFonts w:hint="eastAsia" w:ascii="宋体" w:hAnsi="宋体" w:eastAsia="仿宋_GB2312" w:cs="仿宋_GB2312"/>
          <w:b w:val="0"/>
          <w:bCs w:val="0"/>
          <w:color w:val="auto"/>
          <w:sz w:val="32"/>
          <w:szCs w:val="32"/>
          <w:u w:val="none"/>
          <w:lang w:val="en-US" w:eastAsia="zh-CN"/>
        </w:rPr>
        <w:t>1.有关重大决策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u w:val="none"/>
        </w:rPr>
      </w:pPr>
      <w:r>
        <w:rPr>
          <w:rFonts w:hint="eastAsia" w:ascii="宋体" w:hAnsi="宋体" w:eastAsia="仿宋_GB2312" w:cs="仿宋_GB2312"/>
          <w:color w:val="auto"/>
          <w:sz w:val="32"/>
          <w:szCs w:val="32"/>
          <w:highlight w:val="none"/>
          <w:u w:val="none"/>
        </w:rPr>
        <w:t>集团重大决策事项，均通过召开党委常委会、董事会会议、总经理办公会等集体研究决定。202</w:t>
      </w:r>
      <w:r>
        <w:rPr>
          <w:rFonts w:hint="eastAsia" w:ascii="宋体" w:hAnsi="宋体" w:eastAsia="仿宋_GB2312" w:cs="仿宋_GB2312"/>
          <w:color w:val="auto"/>
          <w:sz w:val="32"/>
          <w:szCs w:val="32"/>
          <w:highlight w:val="none"/>
          <w:u w:val="none"/>
          <w:lang w:val="en-US" w:eastAsia="zh-CN"/>
        </w:rPr>
        <w:t>2</w:t>
      </w:r>
      <w:r>
        <w:rPr>
          <w:rFonts w:hint="eastAsia" w:ascii="宋体" w:hAnsi="宋体" w:eastAsia="仿宋_GB2312" w:cs="仿宋_GB2312"/>
          <w:color w:val="auto"/>
          <w:sz w:val="32"/>
          <w:szCs w:val="32"/>
          <w:highlight w:val="none"/>
          <w:u w:val="none"/>
        </w:rPr>
        <w:t>年，召开党委常委</w:t>
      </w:r>
      <w:r>
        <w:rPr>
          <w:rFonts w:hint="eastAsia" w:ascii="宋体" w:hAnsi="宋体" w:eastAsia="仿宋_GB2312" w:cs="仿宋_GB2312"/>
          <w:color w:val="auto"/>
          <w:sz w:val="32"/>
          <w:szCs w:val="32"/>
          <w:highlight w:val="none"/>
          <w:u w:val="none"/>
          <w:lang w:val="en-US" w:eastAsia="zh-CN"/>
        </w:rPr>
        <w:t>会59</w:t>
      </w:r>
      <w:r>
        <w:rPr>
          <w:rFonts w:hint="eastAsia" w:ascii="宋体" w:hAnsi="宋体" w:eastAsia="仿宋_GB2312" w:cs="仿宋_GB2312"/>
          <w:color w:val="auto"/>
          <w:sz w:val="32"/>
          <w:szCs w:val="32"/>
          <w:highlight w:val="none"/>
          <w:u w:val="none"/>
        </w:rPr>
        <w:t>次</w:t>
      </w:r>
      <w:r>
        <w:rPr>
          <w:rFonts w:hint="eastAsia" w:ascii="宋体" w:hAnsi="宋体" w:eastAsia="仿宋_GB2312" w:cs="仿宋_GB2312"/>
          <w:color w:val="auto"/>
          <w:sz w:val="32"/>
          <w:szCs w:val="32"/>
          <w:highlight w:val="none"/>
          <w:u w:val="none"/>
          <w:lang w:eastAsia="zh-CN"/>
        </w:rPr>
        <w:t>，</w:t>
      </w:r>
      <w:r>
        <w:rPr>
          <w:rFonts w:hint="eastAsia" w:ascii="宋体" w:hAnsi="宋体" w:eastAsia="仿宋_GB2312" w:cs="仿宋_GB2312"/>
          <w:color w:val="auto"/>
          <w:sz w:val="32"/>
          <w:szCs w:val="32"/>
          <w:highlight w:val="none"/>
          <w:u w:val="none"/>
        </w:rPr>
        <w:t>召开董事会会议</w:t>
      </w:r>
      <w:r>
        <w:rPr>
          <w:rFonts w:hint="eastAsia" w:ascii="宋体" w:hAnsi="宋体" w:eastAsia="仿宋_GB2312" w:cs="仿宋_GB2312"/>
          <w:color w:val="auto"/>
          <w:sz w:val="32"/>
          <w:szCs w:val="32"/>
          <w:highlight w:val="none"/>
          <w:u w:val="none"/>
          <w:lang w:val="en-US" w:eastAsia="zh-CN"/>
        </w:rPr>
        <w:t>21</w:t>
      </w:r>
      <w:r>
        <w:rPr>
          <w:rFonts w:hint="eastAsia" w:ascii="宋体" w:hAnsi="宋体" w:eastAsia="仿宋_GB2312" w:cs="仿宋_GB2312"/>
          <w:color w:val="auto"/>
          <w:sz w:val="32"/>
          <w:szCs w:val="32"/>
          <w:highlight w:val="none"/>
          <w:u w:val="none"/>
        </w:rPr>
        <w:t>次，召开总经理办公会</w:t>
      </w:r>
      <w:r>
        <w:rPr>
          <w:rFonts w:hint="eastAsia" w:ascii="宋体" w:hAnsi="宋体" w:eastAsia="仿宋_GB2312" w:cs="仿宋_GB2312"/>
          <w:color w:val="auto"/>
          <w:sz w:val="32"/>
          <w:szCs w:val="32"/>
          <w:highlight w:val="none"/>
          <w:u w:val="none"/>
          <w:lang w:val="en-US" w:eastAsia="zh-CN"/>
        </w:rPr>
        <w:t>10</w:t>
      </w:r>
      <w:r>
        <w:rPr>
          <w:rFonts w:hint="eastAsia" w:ascii="宋体" w:hAnsi="宋体" w:eastAsia="仿宋_GB2312" w:cs="仿宋_GB2312"/>
          <w:color w:val="auto"/>
          <w:sz w:val="32"/>
          <w:szCs w:val="32"/>
          <w:highlight w:val="none"/>
          <w:u w:val="none"/>
        </w:rPr>
        <w:t>次，</w:t>
      </w:r>
      <w:r>
        <w:rPr>
          <w:rFonts w:hint="eastAsia" w:ascii="宋体" w:hAnsi="宋体" w:eastAsia="仿宋_GB2312" w:cs="仿宋_GB2312"/>
          <w:color w:val="auto"/>
          <w:sz w:val="32"/>
          <w:szCs w:val="32"/>
          <w:highlight w:val="none"/>
          <w:u w:val="none"/>
          <w:lang w:val="en-US" w:eastAsia="zh-CN"/>
        </w:rPr>
        <w:t>共</w:t>
      </w:r>
      <w:r>
        <w:rPr>
          <w:rFonts w:hint="eastAsia" w:ascii="宋体" w:hAnsi="宋体" w:eastAsia="仿宋_GB2312" w:cs="仿宋_GB2312"/>
          <w:color w:val="auto"/>
          <w:sz w:val="32"/>
          <w:szCs w:val="32"/>
          <w:highlight w:val="none"/>
          <w:u w:val="none"/>
        </w:rPr>
        <w:t>研究议题</w:t>
      </w:r>
      <w:r>
        <w:rPr>
          <w:rFonts w:hint="eastAsia" w:ascii="宋体" w:hAnsi="宋体" w:eastAsia="仿宋_GB2312" w:cs="仿宋_GB2312"/>
          <w:color w:val="auto"/>
          <w:sz w:val="32"/>
          <w:szCs w:val="32"/>
          <w:highlight w:val="none"/>
          <w:u w:val="none"/>
          <w:lang w:val="en-US" w:eastAsia="zh-CN"/>
        </w:rPr>
        <w:t>614</w:t>
      </w:r>
      <w:r>
        <w:rPr>
          <w:rFonts w:hint="eastAsia" w:ascii="宋体" w:hAnsi="宋体" w:eastAsia="仿宋_GB2312" w:cs="仿宋_GB2312"/>
          <w:color w:val="auto"/>
          <w:sz w:val="32"/>
          <w:szCs w:val="32"/>
          <w:highlight w:val="none"/>
          <w:u w:val="none"/>
        </w:rPr>
        <w:t>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color w:val="auto"/>
          <w:sz w:val="32"/>
          <w:szCs w:val="32"/>
          <w:u w:val="none"/>
          <w:lang w:val="en-US" w:eastAsia="zh-CN"/>
        </w:rPr>
      </w:pPr>
      <w:r>
        <w:rPr>
          <w:rFonts w:hint="eastAsia" w:ascii="宋体" w:hAnsi="宋体" w:eastAsia="仿宋_GB2312" w:cs="仿宋_GB2312"/>
          <w:b w:val="0"/>
          <w:bCs w:val="0"/>
          <w:color w:val="auto"/>
          <w:sz w:val="32"/>
          <w:szCs w:val="32"/>
          <w:u w:val="none"/>
          <w:lang w:val="en-US" w:eastAsia="zh-CN"/>
        </w:rPr>
        <w:t>2.有关重大人事任免</w:t>
      </w:r>
    </w:p>
    <w:p>
      <w:pPr>
        <w:pageBreakBefore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color w:val="auto"/>
          <w:sz w:val="32"/>
          <w:szCs w:val="32"/>
          <w:highlight w:val="none"/>
          <w:u w:val="none"/>
          <w:lang w:val="en-US" w:eastAsia="zh-Hans"/>
        </w:rPr>
      </w:pPr>
      <w:r>
        <w:rPr>
          <w:rFonts w:hint="eastAsia" w:ascii="宋体" w:hAnsi="宋体" w:eastAsia="仿宋_GB2312" w:cs="仿宋_GB2312"/>
          <w:color w:val="auto"/>
          <w:sz w:val="32"/>
          <w:szCs w:val="32"/>
          <w:highlight w:val="none"/>
          <w:u w:val="none"/>
          <w:lang w:val="en-US" w:eastAsia="zh-CN"/>
        </w:rPr>
        <w:t>2022年1月，韩恩泽同志任省港口集团有限公司党委常委、副总经理。</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u w:val="none"/>
          <w:lang w:val="en-US" w:eastAsia="zh-CN"/>
        </w:rPr>
      </w:pPr>
      <w:r>
        <w:rPr>
          <w:rFonts w:hint="eastAsia" w:ascii="宋体" w:hAnsi="宋体" w:eastAsia="仿宋_GB2312" w:cs="仿宋_GB2312"/>
          <w:color w:val="auto"/>
          <w:sz w:val="32"/>
          <w:szCs w:val="32"/>
          <w:highlight w:val="none"/>
          <w:u w:val="none"/>
          <w:lang w:val="en-US" w:eastAsia="zh-CN"/>
        </w:rPr>
        <w:t>2022年6月，蔡中堂同志任省港口集团有限公司咨询，不再担任省港口集团有限公司党委常委、副总经理职务。</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u w:val="none"/>
          <w:lang w:val="en-US" w:eastAsia="zh-CN"/>
        </w:rPr>
        <w:t>2022年6月，高亚同志</w:t>
      </w:r>
      <w:r>
        <w:rPr>
          <w:rFonts w:hint="eastAsia" w:ascii="宋体" w:hAnsi="宋体" w:eastAsia="仿宋_GB2312" w:cs="仿宋_GB2312"/>
          <w:color w:val="auto"/>
          <w:sz w:val="32"/>
          <w:szCs w:val="32"/>
          <w:highlight w:val="none"/>
          <w:lang w:val="en-US" w:eastAsia="zh-CN"/>
        </w:rPr>
        <w:t>任省港口集团有限公司党委常委、副总经理。</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2022年9月，王军同志任省港口集团有限公司安全总监，马德亮同志不再兼任省港口集团有限公司安全总监职务。</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2022年9月，高亚同志兼任省港口集团有限公司总法律顾问，孙正甫同志不再兼任省港口集团有限公司总法律顾问职务。</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2022年9月，刘晋同志任省港口集团有限公司总经理助理。</w:t>
      </w:r>
    </w:p>
    <w:p>
      <w:pPr>
        <w:pageBreakBefore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2022年10月，王新泽同志任省港口集团有限公司职工董事，高亚同志不再担任省港口集团有限公司职工董事。</w:t>
      </w:r>
    </w:p>
    <w:p>
      <w:pPr>
        <w:pageBreakBefore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highlight w:val="none"/>
          <w:lang w:val="en-US" w:eastAsia="zh-CN"/>
        </w:rPr>
        <w:t>2022年11月，刘志国同志不再担任省港口集团有限公司董事会秘书职务。</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highlight w:val="none"/>
        </w:rPr>
      </w:pPr>
      <w:r>
        <w:rPr>
          <w:rFonts w:hint="eastAsia" w:ascii="宋体" w:hAnsi="宋体" w:eastAsia="仿宋_GB2312" w:cs="仿宋_GB2312"/>
          <w:color w:val="auto"/>
          <w:sz w:val="32"/>
          <w:szCs w:val="32"/>
          <w:highlight w:val="none"/>
        </w:rPr>
        <w:t>202</w:t>
      </w:r>
      <w:r>
        <w:rPr>
          <w:rFonts w:hint="eastAsia" w:ascii="宋体" w:hAnsi="宋体" w:eastAsia="仿宋_GB2312" w:cs="仿宋_GB2312"/>
          <w:color w:val="auto"/>
          <w:sz w:val="32"/>
          <w:szCs w:val="32"/>
          <w:highlight w:val="none"/>
          <w:lang w:val="en-US" w:eastAsia="zh-CN"/>
        </w:rPr>
        <w:t>2</w:t>
      </w:r>
      <w:r>
        <w:rPr>
          <w:rFonts w:hint="eastAsia" w:ascii="宋体" w:hAnsi="宋体" w:eastAsia="仿宋_GB2312" w:cs="仿宋_GB2312"/>
          <w:color w:val="auto"/>
          <w:sz w:val="32"/>
          <w:szCs w:val="32"/>
          <w:highlight w:val="none"/>
        </w:rPr>
        <w:t>年，根据工作需要，综合运用民主推荐、公开竞聘等多种方式，调整中层管理人员</w:t>
      </w:r>
      <w:r>
        <w:rPr>
          <w:rFonts w:hint="eastAsia" w:ascii="宋体" w:hAnsi="宋体" w:eastAsia="仿宋_GB2312" w:cs="仿宋_GB2312"/>
          <w:color w:val="auto"/>
          <w:sz w:val="32"/>
          <w:szCs w:val="32"/>
          <w:highlight w:val="none"/>
          <w:lang w:val="en-US" w:eastAsia="zh-CN"/>
        </w:rPr>
        <w:t>94</w:t>
      </w:r>
      <w:r>
        <w:rPr>
          <w:rFonts w:hint="eastAsia" w:ascii="宋体" w:hAnsi="宋体" w:eastAsia="仿宋_GB2312" w:cs="仿宋_GB2312"/>
          <w:color w:val="auto"/>
          <w:sz w:val="32"/>
          <w:szCs w:val="32"/>
          <w:highlight w:val="none"/>
        </w:rPr>
        <w:t>人，其中提拔、进一步使用或晋升职级</w:t>
      </w:r>
      <w:r>
        <w:rPr>
          <w:rFonts w:hint="eastAsia" w:ascii="宋体" w:hAnsi="宋体" w:eastAsia="仿宋_GB2312" w:cs="仿宋_GB2312"/>
          <w:color w:val="auto"/>
          <w:sz w:val="32"/>
          <w:szCs w:val="32"/>
          <w:highlight w:val="none"/>
          <w:lang w:val="en-US" w:eastAsia="zh-CN"/>
        </w:rPr>
        <w:t>51</w:t>
      </w:r>
      <w:r>
        <w:rPr>
          <w:rFonts w:hint="eastAsia" w:ascii="宋体" w:hAnsi="宋体" w:eastAsia="仿宋_GB2312" w:cs="仿宋_GB2312"/>
          <w:color w:val="auto"/>
          <w:sz w:val="32"/>
          <w:szCs w:val="32"/>
          <w:highlight w:val="none"/>
        </w:rPr>
        <w:t>人。</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宋体" w:hAnsi="宋体" w:eastAsia="仿宋_GB2312" w:cs="仿宋_GB2312"/>
          <w:sz w:val="32"/>
          <w:szCs w:val="32"/>
          <w:lang w:eastAsia="zh-Hans"/>
        </w:rPr>
      </w:pPr>
      <w:r>
        <w:rPr>
          <w:rFonts w:hint="eastAsia" w:ascii="宋体" w:hAnsi="宋体" w:eastAsia="仿宋_GB2312" w:cs="仿宋_GB2312"/>
          <w:sz w:val="32"/>
          <w:szCs w:val="32"/>
          <w:lang w:eastAsia="zh-Hans"/>
        </w:rPr>
        <w:t>3.投资情况</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宋体" w:hAnsi="宋体" w:eastAsia="仿宋_GB2312" w:cs="仿宋_GB2312"/>
          <w:sz w:val="32"/>
          <w:szCs w:val="32"/>
          <w:lang w:eastAsia="zh-Hans"/>
        </w:rPr>
      </w:pPr>
      <w:r>
        <w:rPr>
          <w:rFonts w:hint="eastAsia" w:ascii="宋体" w:hAnsi="宋体" w:eastAsia="仿宋_GB2312" w:cs="仿宋_GB2312"/>
          <w:sz w:val="32"/>
          <w:szCs w:val="32"/>
          <w:lang w:eastAsia="zh-Hans"/>
        </w:rPr>
        <w:t>2022年，山东省港口集团全年完成总投资409.11亿元</w:t>
      </w:r>
      <w:r>
        <w:rPr>
          <w:rFonts w:hint="eastAsia" w:ascii="宋体" w:hAnsi="宋体" w:eastAsia="仿宋_GB2312" w:cs="仿宋_GB2312"/>
          <w:sz w:val="32"/>
          <w:szCs w:val="32"/>
          <w:lang w:eastAsia="zh-CN"/>
        </w:rPr>
        <w:t>（</w:t>
      </w:r>
      <w:r>
        <w:rPr>
          <w:rFonts w:hint="eastAsia" w:ascii="宋体" w:hAnsi="宋体" w:eastAsia="仿宋_GB2312" w:cs="仿宋_GB2312"/>
          <w:sz w:val="32"/>
          <w:szCs w:val="32"/>
          <w:lang w:val="en-US" w:eastAsia="zh-CN"/>
        </w:rPr>
        <w:t>含</w:t>
      </w:r>
      <w:r>
        <w:rPr>
          <w:rFonts w:hint="eastAsia" w:ascii="宋体" w:hAnsi="宋体" w:eastAsia="仿宋_GB2312" w:cs="仿宋_GB2312"/>
          <w:sz w:val="32"/>
          <w:szCs w:val="32"/>
          <w:lang w:eastAsia="zh-Hans"/>
        </w:rPr>
        <w:t>境外投资8972.3万元</w:t>
      </w:r>
      <w:r>
        <w:rPr>
          <w:rFonts w:hint="eastAsia" w:ascii="宋体" w:hAnsi="宋体" w:eastAsia="仿宋_GB2312" w:cs="仿宋_GB2312"/>
          <w:sz w:val="32"/>
          <w:szCs w:val="32"/>
          <w:lang w:eastAsia="zh-CN"/>
        </w:rPr>
        <w:t>）。</w:t>
      </w:r>
      <w:r>
        <w:rPr>
          <w:rFonts w:hint="eastAsia" w:ascii="宋体" w:hAnsi="宋体" w:eastAsia="仿宋_GB2312" w:cs="仿宋_GB2312"/>
          <w:sz w:val="32"/>
          <w:szCs w:val="32"/>
          <w:lang w:eastAsia="zh-Hans"/>
        </w:rPr>
        <w:t>其中，完成固定资产投资</w:t>
      </w:r>
      <w:r>
        <w:rPr>
          <w:rFonts w:hint="eastAsia" w:ascii="宋体" w:hAnsi="宋体" w:eastAsia="仿宋_GB2312"/>
          <w:sz w:val="32"/>
          <w:szCs w:val="32"/>
        </w:rPr>
        <w:t>252.32</w:t>
      </w:r>
      <w:r>
        <w:rPr>
          <w:rFonts w:hint="eastAsia" w:ascii="宋体" w:hAnsi="宋体" w:eastAsia="仿宋_GB2312" w:cs="仿宋_GB2312"/>
          <w:sz w:val="32"/>
          <w:szCs w:val="32"/>
          <w:lang w:eastAsia="zh-Hans"/>
        </w:rPr>
        <w:t>亿元，占比</w:t>
      </w:r>
      <w:r>
        <w:rPr>
          <w:rFonts w:hint="eastAsia" w:ascii="宋体" w:hAnsi="宋体" w:eastAsia="仿宋_GB2312" w:cs="仿宋_GB2312"/>
          <w:sz w:val="32"/>
          <w:szCs w:val="32"/>
          <w:lang w:val="en-US" w:eastAsia="zh-CN"/>
        </w:rPr>
        <w:t>61.68</w:t>
      </w:r>
      <w:r>
        <w:rPr>
          <w:rFonts w:hint="eastAsia" w:ascii="宋体" w:hAnsi="宋体" w:eastAsia="仿宋_GB2312" w:cs="仿宋_GB2312"/>
          <w:sz w:val="32"/>
          <w:szCs w:val="32"/>
          <w:lang w:eastAsia="zh-Hans"/>
        </w:rPr>
        <w:t>%；完成</w:t>
      </w:r>
      <w:r>
        <w:rPr>
          <w:rFonts w:hint="eastAsia" w:ascii="宋体" w:hAnsi="宋体" w:eastAsia="仿宋_GB2312" w:cs="仿宋_GB2312"/>
          <w:sz w:val="32"/>
          <w:szCs w:val="32"/>
          <w:lang w:val="en-US" w:eastAsia="zh-CN"/>
        </w:rPr>
        <w:t>长期</w:t>
      </w:r>
      <w:r>
        <w:rPr>
          <w:rFonts w:hint="eastAsia" w:ascii="宋体" w:hAnsi="宋体" w:eastAsia="仿宋_GB2312" w:cs="仿宋_GB2312"/>
          <w:sz w:val="32"/>
          <w:szCs w:val="32"/>
          <w:lang w:eastAsia="zh-Hans"/>
        </w:rPr>
        <w:t>股</w:t>
      </w:r>
      <w:bookmarkStart w:id="4" w:name="_GoBack"/>
      <w:bookmarkEnd w:id="4"/>
      <w:r>
        <w:rPr>
          <w:rFonts w:hint="eastAsia" w:ascii="宋体" w:hAnsi="宋体" w:eastAsia="仿宋_GB2312" w:cs="仿宋_GB2312"/>
          <w:sz w:val="32"/>
          <w:szCs w:val="32"/>
          <w:lang w:eastAsia="zh-Hans"/>
        </w:rPr>
        <w:t>权投资</w:t>
      </w:r>
      <w:r>
        <w:rPr>
          <w:rFonts w:hint="eastAsia" w:ascii="宋体" w:hAnsi="宋体" w:eastAsia="仿宋_GB2312"/>
          <w:sz w:val="32"/>
          <w:szCs w:val="32"/>
        </w:rPr>
        <w:t>156.79</w:t>
      </w:r>
      <w:r>
        <w:rPr>
          <w:rFonts w:hint="eastAsia" w:ascii="宋体" w:hAnsi="宋体" w:eastAsia="仿宋_GB2312" w:cs="仿宋_GB2312"/>
          <w:sz w:val="32"/>
          <w:szCs w:val="32"/>
          <w:lang w:eastAsia="zh-Hans"/>
        </w:rPr>
        <w:t>亿元，占比</w:t>
      </w:r>
      <w:r>
        <w:rPr>
          <w:rFonts w:hint="eastAsia" w:ascii="宋体" w:hAnsi="宋体" w:eastAsia="仿宋_GB2312" w:cs="仿宋_GB2312"/>
          <w:sz w:val="32"/>
          <w:szCs w:val="32"/>
          <w:lang w:val="en-US" w:eastAsia="zh-CN"/>
        </w:rPr>
        <w:t>38.32</w:t>
      </w:r>
      <w:r>
        <w:rPr>
          <w:rFonts w:hint="eastAsia" w:ascii="宋体" w:hAnsi="宋体" w:eastAsia="仿宋_GB2312" w:cs="仿宋_GB2312"/>
          <w:sz w:val="32"/>
          <w:szCs w:val="32"/>
          <w:lang w:eastAsia="zh-Hans"/>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val="0"/>
          <w:bCs w:val="0"/>
          <w:sz w:val="32"/>
          <w:szCs w:val="32"/>
          <w:highlight w:val="none"/>
          <w:lang w:val="en-US" w:eastAsia="zh-CN"/>
        </w:rPr>
      </w:pPr>
      <w:r>
        <w:rPr>
          <w:rFonts w:hint="eastAsia" w:ascii="宋体" w:hAnsi="宋体" w:eastAsia="仿宋_GB2312" w:cs="仿宋_GB2312"/>
          <w:b w:val="0"/>
          <w:bCs w:val="0"/>
          <w:sz w:val="32"/>
          <w:szCs w:val="32"/>
          <w:highlight w:val="none"/>
          <w:lang w:val="en-US" w:eastAsia="zh-CN"/>
        </w:rPr>
        <w:t>4.大额资金的调度及使用情况</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sz w:val="32"/>
          <w:szCs w:val="32"/>
          <w:highlight w:val="none"/>
          <w:lang w:val="en-US" w:eastAsia="zh-CN"/>
        </w:rPr>
      </w:pPr>
      <w:r>
        <w:rPr>
          <w:rFonts w:hint="eastAsia" w:ascii="宋体" w:hAnsi="宋体" w:eastAsia="仿宋_GB2312" w:cs="仿宋_GB2312"/>
          <w:color w:val="auto"/>
          <w:sz w:val="32"/>
          <w:szCs w:val="32"/>
          <w:highlight w:val="none"/>
          <w:lang w:val="en-US" w:eastAsia="zh-CN"/>
        </w:rPr>
        <w:t>本公司</w:t>
      </w:r>
      <w:r>
        <w:rPr>
          <w:rFonts w:hint="eastAsia" w:ascii="宋体" w:hAnsi="宋体" w:eastAsia="仿宋_GB2312" w:cs="仿宋_GB2312"/>
          <w:sz w:val="32"/>
          <w:szCs w:val="32"/>
          <w:highlight w:val="none"/>
          <w:lang w:val="en-US" w:eastAsia="zh-CN"/>
        </w:rPr>
        <w:t>大额资金调度及使用严格执行“三重一大”决策程序，各权属单位根据生产经营计划和投资计划编制年度资金预算，年度资金预算经本公司董事会决策通过后执行。未列入年度资金预算的大额资金支付需履行预算追加手续方可付款，年度预算追加流程与编制审批流程一致。</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sz w:val="32"/>
          <w:szCs w:val="32"/>
          <w:highlight w:val="none"/>
          <w:lang w:val="en-US" w:eastAsia="zh-CN"/>
        </w:rPr>
      </w:pPr>
      <w:r>
        <w:rPr>
          <w:rFonts w:hint="eastAsia" w:ascii="宋体" w:hAnsi="宋体" w:eastAsia="仿宋_GB2312" w:cs="仿宋_GB2312"/>
          <w:sz w:val="32"/>
          <w:szCs w:val="32"/>
          <w:highlight w:val="none"/>
          <w:lang w:val="en-US" w:eastAsia="zh-CN"/>
        </w:rPr>
        <w:t>本公司通过资金管理平台实行资金预算的分解落实和线上管控，各权属单位每月编制月度资金预算和大额支出计划，经本公司总经理审批后执行，各单位每日编制日支出计划，经财务公司或资金结算中心审批后执行，月度预算须在年度预算内、日支出计划须在月度预算内。未列入月度预算和日支出计划的须追加预算，预算追加流程与编制审批流程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sz w:val="32"/>
          <w:szCs w:val="32"/>
          <w:highlight w:val="none"/>
          <w:lang w:val="en-US" w:eastAsia="zh-CN"/>
        </w:rPr>
      </w:pPr>
      <w:r>
        <w:rPr>
          <w:rFonts w:hint="eastAsia" w:ascii="宋体" w:hAnsi="宋体" w:eastAsia="楷体_GB2312" w:cs="楷体_GB2312"/>
          <w:sz w:val="32"/>
          <w:szCs w:val="32"/>
          <w:highlight w:val="none"/>
          <w:lang w:val="en-US" w:eastAsia="zh-CN"/>
        </w:rPr>
        <w:t>（三）重要关联交易事项</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sz w:val="32"/>
          <w:szCs w:val="32"/>
          <w:highlight w:val="none"/>
          <w:lang w:val="en-US" w:eastAsia="zh-CN"/>
        </w:rPr>
      </w:pPr>
      <w:r>
        <w:rPr>
          <w:rFonts w:hint="eastAsia" w:ascii="宋体" w:hAnsi="宋体" w:eastAsia="仿宋_GB2312" w:cs="仿宋_GB2312"/>
          <w:sz w:val="32"/>
          <w:szCs w:val="32"/>
          <w:highlight w:val="none"/>
          <w:lang w:val="en-US" w:eastAsia="zh-CN"/>
        </w:rPr>
        <w:t>报告期内，本公司与合营及联营企业发生购买商品或接受劳务共计11.79亿元，占比1.15%；与其他关联关系方发生购买商品或接受劳务共计3.68亿元，占比0.32%。</w:t>
      </w:r>
    </w:p>
    <w:p>
      <w:pPr>
        <w:pageBreakBefore w:val="0"/>
        <w:kinsoku/>
        <w:wordWrap/>
        <w:overflowPunct/>
        <w:topLinePunct w:val="0"/>
        <w:autoSpaceDE/>
        <w:autoSpaceDN/>
        <w:bidi w:val="0"/>
        <w:spacing w:line="560" w:lineRule="exact"/>
        <w:ind w:firstLine="640" w:firstLineChars="200"/>
        <w:textAlignment w:val="auto"/>
        <w:rPr>
          <w:rFonts w:hint="default" w:ascii="宋体" w:hAnsi="宋体" w:eastAsia="仿宋_GB2312" w:cs="仿宋_GB2312"/>
          <w:sz w:val="32"/>
          <w:szCs w:val="32"/>
          <w:lang w:val="en-US" w:eastAsia="zh-CN"/>
        </w:rPr>
      </w:pPr>
      <w:r>
        <w:rPr>
          <w:rFonts w:hint="eastAsia" w:ascii="宋体" w:hAnsi="宋体" w:eastAsia="仿宋_GB2312" w:cs="仿宋_GB2312"/>
          <w:sz w:val="32"/>
          <w:szCs w:val="32"/>
          <w:highlight w:val="none"/>
          <w:lang w:val="en-US" w:eastAsia="zh-CN"/>
        </w:rPr>
        <w:t>与合营及联营企业发生销售商品或提供劳务共计23.19亿元，占比1.81%；与其他关联关系方发生销售商品或提供劳务共计9.11亿元，占比0.67%。</w:t>
      </w:r>
    </w:p>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宋体" w:hAnsi="宋体" w:eastAsia="黑体"/>
          <w:b w:val="0"/>
          <w:bCs w:val="0"/>
          <w:color w:val="auto"/>
          <w:sz w:val="32"/>
          <w:szCs w:val="32"/>
        </w:rPr>
      </w:pPr>
      <w:r>
        <w:rPr>
          <w:rFonts w:hint="eastAsia" w:ascii="宋体" w:hAnsi="宋体" w:eastAsia="黑体"/>
          <w:b w:val="0"/>
          <w:bCs w:val="0"/>
          <w:color w:val="auto"/>
          <w:sz w:val="32"/>
          <w:szCs w:val="32"/>
          <w:lang w:val="en-US" w:eastAsia="zh-CN"/>
        </w:rPr>
        <w:t>七</w:t>
      </w:r>
      <w:r>
        <w:rPr>
          <w:rFonts w:hint="eastAsia" w:ascii="宋体" w:hAnsi="宋体" w:eastAsia="黑体"/>
          <w:b w:val="0"/>
          <w:bCs w:val="0"/>
          <w:color w:val="auto"/>
          <w:sz w:val="32"/>
          <w:szCs w:val="32"/>
        </w:rPr>
        <w:t>、社会责任的履行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楷体_GB2312" w:cs="楷体_GB2312"/>
          <w:color w:val="auto"/>
          <w:sz w:val="32"/>
          <w:szCs w:val="32"/>
          <w:highlight w:val="none"/>
          <w:lang w:val="en-US" w:eastAsia="zh-CN"/>
        </w:rPr>
        <w:t>（一）职工劳动合同的签订、履行等劳动法律法规的遵守和执行情况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2022年，山东港口劳动合同签订率100％，全部依法依规履行相关手续。山东港口坚持以人为本，严格执行劳动保障法律法规，充分保障员工的劳动、休息休假、社会保险、工资待遇等合法权益，积极构建和谐稳定的劳动关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楷体_GB2312" w:cs="楷体_GB2312"/>
          <w:color w:val="auto"/>
          <w:sz w:val="32"/>
          <w:szCs w:val="32"/>
          <w:highlight w:val="none"/>
          <w:lang w:val="en-US" w:eastAsia="zh-CN"/>
        </w:rPr>
        <w:t>（二）人才引进、职工招聘、职工培训等人才队伍建设情况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lang w:val="en-US" w:eastAsia="zh-CN"/>
        </w:rPr>
      </w:pPr>
      <w:r>
        <w:rPr>
          <w:rFonts w:hint="eastAsia" w:ascii="宋体" w:hAnsi="宋体" w:eastAsia="仿宋_GB2312" w:cs="仿宋_GB2312"/>
          <w:color w:val="auto"/>
          <w:sz w:val="32"/>
          <w:szCs w:val="32"/>
          <w:lang w:val="en-US" w:eastAsia="zh-CN"/>
        </w:rPr>
        <w:t>2022年，山东港口共引进培养高层次人才274人（柔性引进155人，自主培养119人）。其中，柔性引进杰出人才12人、领军人才99人、高级人才44人；自主培养领军人才1人、高级人才10人、青年人才91人、山东省技术能手等其他人才17人。新增山东省船岸一体化智能系统装备工程技术协同创新中心等省级人才平台载体7个。2022年，通过“线下+线上”招聘模式，创新空中宣讲、直播带岗等招聘形式，圆满完成2022届毕业生招聘工作，签约数量和质量层次均有明显提升，荣获“2022最佳雇主校招案例奖”“2022年度最具社会责任雇主企业”称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color w:val="auto"/>
          <w:sz w:val="32"/>
          <w:szCs w:val="32"/>
          <w:highlight w:val="none"/>
          <w:lang w:val="en-US" w:eastAsia="zh-CN"/>
        </w:rPr>
      </w:pPr>
      <w:r>
        <w:rPr>
          <w:rFonts w:hint="eastAsia" w:ascii="宋体" w:hAnsi="宋体" w:eastAsia="仿宋_GB2312" w:cs="仿宋_GB2312"/>
          <w:color w:val="auto"/>
          <w:sz w:val="32"/>
          <w:szCs w:val="32"/>
          <w:lang w:val="en-US" w:eastAsia="zh-CN"/>
        </w:rPr>
        <w:t>围绕高质量发展对人才的要求，深化全员素质提升工程，</w:t>
      </w:r>
      <w:r>
        <w:rPr>
          <w:rFonts w:hint="eastAsia" w:ascii="宋体" w:hAnsi="宋体" w:eastAsia="仿宋_GB2312" w:cs="仿宋_GB2312"/>
          <w:color w:val="auto"/>
          <w:sz w:val="32"/>
          <w:szCs w:val="32"/>
          <w:highlight w:val="none"/>
          <w:lang w:val="en-US" w:eastAsia="zh-CN"/>
        </w:rPr>
        <w:t>山东港口全年组织开展各类培训班2390期、培训近43万人次，全年新增副高级职称226人、正高级职称19人，新增技师224人、高级技师119人、特级技师7人，新考取各类职业资格证书298人。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楷体_GB2312" w:cs="楷体_GB2312"/>
          <w:color w:val="auto"/>
          <w:sz w:val="32"/>
          <w:szCs w:val="32"/>
          <w:highlight w:val="none"/>
          <w:lang w:val="en-US" w:eastAsia="zh-CN"/>
        </w:rPr>
        <w:t>（三）职工劳动、安全及卫生保护情况</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ascii="宋体" w:hAnsi="宋体" w:eastAsia="仿宋_GB2312" w:cs="仿宋_GB2312"/>
          <w:spacing w:val="-2"/>
          <w:sz w:val="32"/>
          <w:szCs w:val="32"/>
          <w:lang w:eastAsia="zh-Hans"/>
        </w:rPr>
      </w:pPr>
      <w:r>
        <w:rPr>
          <w:rFonts w:hint="eastAsia" w:ascii="宋体" w:hAnsi="宋体" w:eastAsia="仿宋_GB2312" w:cs="仿宋_GB2312"/>
          <w:spacing w:val="-2"/>
          <w:sz w:val="32"/>
          <w:szCs w:val="32"/>
          <w:lang w:eastAsia="zh-Hans"/>
        </w:rPr>
        <w:t>严格按照国家有关规定，落实安全生产、职业健康各项要求。以“防风险、保安全、迎二十大”为主线，统筹安全和发展，严格落实“八抓20条“创新措施，开展滚动式隐患排查治理，狠抓重点时段、重点环节、重点部位安全管控。加强安全体系建设，</w:t>
      </w:r>
      <w:r>
        <w:rPr>
          <w:rFonts w:hint="eastAsia" w:ascii="宋体" w:hAnsi="宋体" w:eastAsia="仿宋_GB2312" w:cs="仿宋_GB2312"/>
          <w:spacing w:val="-2"/>
          <w:sz w:val="32"/>
          <w:szCs w:val="32"/>
        </w:rPr>
        <w:t>实施安全总</w:t>
      </w:r>
      <w:r>
        <w:rPr>
          <w:rFonts w:hint="eastAsia" w:ascii="宋体" w:hAnsi="宋体" w:eastAsia="仿宋_GB2312" w:cs="仿宋_GB2312"/>
          <w:spacing w:val="-2"/>
          <w:sz w:val="32"/>
          <w:szCs w:val="32"/>
          <w:lang w:eastAsia="zh-Hans"/>
        </w:rPr>
        <w:t>监制度，开展安全生产信用体系建设。加强隐患排查整治，常态化开展“视频监控+视频检查”，持续落实典型问题周曝光、季通报机制。加强安全重点管控，编制安全生产重大风险清单，开展粉尘涉爆、危险化学品、长输管道专项整治。加强本质安全管理，推进信息技术与港口安全管理的深度融合，以智能识别、实时预警等科技手段全面提升本质安全水平。加强应急处置能力，推进省级专业应急队伍建设，常态化开展实战应急演练，高标准承办省级演练任务。加强职业病危害防护设施维护使用管理，严格职业病危害现场检测，预防、控制和消除职业危害，保护职工健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b/>
          <w:bCs/>
          <w:color w:val="auto"/>
          <w:sz w:val="32"/>
          <w:szCs w:val="32"/>
          <w:lang w:val="en-US" w:eastAsia="zh-CN"/>
        </w:rPr>
      </w:pPr>
      <w:r>
        <w:rPr>
          <w:rFonts w:hint="eastAsia" w:ascii="宋体" w:hAnsi="宋体" w:eastAsia="楷体_GB2312" w:cs="楷体_GB2312"/>
          <w:color w:val="auto"/>
          <w:sz w:val="32"/>
          <w:szCs w:val="32"/>
          <w:highlight w:val="none"/>
          <w:lang w:val="en-US" w:eastAsia="zh-CN"/>
        </w:rPr>
        <w:t>（四）企业开展的环境治理及保护情况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宋体" w:hAnsi="宋体" w:eastAsia="仿宋_GB2312" w:cs="仿宋_GB2312"/>
          <w:kern w:val="0"/>
          <w:sz w:val="32"/>
          <w:szCs w:val="32"/>
        </w:rPr>
      </w:pPr>
      <w:r>
        <w:rPr>
          <w:rFonts w:hint="eastAsia" w:ascii="宋体" w:hAnsi="宋体" w:eastAsia="仿宋_GB2312" w:cs="仿宋_GB2312"/>
          <w:kern w:val="0"/>
          <w:sz w:val="32"/>
          <w:szCs w:val="32"/>
        </w:rPr>
        <w:t>2022年，山东港口全面落实“生态优先、绿色发展”理念，坚持降碳、减污、扩绿、增长协同推进，突出污染防治的系统治理、突出绿色低碳的典型示范、突出智慧监管的数字化转型，加快推进国际领先的智慧绿色港口建设。在全国沿海港口率先发布《港口移动源和大气污染物排放清单》，启动“碳达峰、碳中和”路径研究，开启系统评估、精准施策、减污降碳的新篇章。大力推动新能源和清洁能源应用，牵头编制航海学会团体标准《近零碳港口建设技术要求》通过立项审查，提前三年自主完成国一非道路移动机械清零，电、气、氢等清洁用能占比达到58%，万吨吞吐量能源单耗2.23吨标煤，二氧化碳排放2.1吨。建成投用山东港口生态环境智慧管控平台，通过115个监测站位实现全港环境空气质量实时监测、动态管控与分析，港区环境空气质量大幅改善，青岛港QQCT、日照港集发公司获评“四星级绿色港口”，日照港岚山公司获评“亚太绿色港口”，山东港口绿色低碳发展成果入选全省“抓环保促发展”典型案例。</w:t>
      </w:r>
    </w:p>
    <w:p>
      <w:pPr>
        <w:pStyle w:val="2"/>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楷体_GB2312" w:cs="楷体_GB2312"/>
          <w:color w:val="auto"/>
          <w:sz w:val="32"/>
          <w:szCs w:val="32"/>
          <w:highlight w:val="none"/>
          <w:lang w:val="en-US" w:eastAsia="zh-CN"/>
        </w:rPr>
      </w:pPr>
      <w:r>
        <w:rPr>
          <w:rFonts w:hint="eastAsia" w:ascii="宋体" w:hAnsi="宋体" w:eastAsia="楷体_GB2312" w:cs="楷体_GB2312"/>
          <w:color w:val="auto"/>
          <w:sz w:val="32"/>
          <w:szCs w:val="32"/>
          <w:highlight w:val="none"/>
          <w:lang w:val="en-US" w:eastAsia="zh-CN"/>
        </w:rPr>
        <w:t>（五）企业提供安全的产品和服务，遵守商业道德情况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sz w:val="32"/>
          <w:szCs w:val="32"/>
        </w:rPr>
      </w:pPr>
      <w:r>
        <w:rPr>
          <w:rFonts w:hint="eastAsia" w:ascii="宋体" w:hAnsi="宋体" w:eastAsia="仿宋_GB2312" w:cs="仿宋_GB2312"/>
          <w:sz w:val="32"/>
          <w:szCs w:val="32"/>
        </w:rPr>
        <w:t>严格遵守安全方面的法律法规，恪守以诚信经营为核心的商业道德规范，为广大客户积极提供安全的服务，具有社会认可的良好的商业道德。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cs="仿宋_GB2312"/>
          <w:sz w:val="32"/>
          <w:szCs w:val="32"/>
          <w:lang w:eastAsia="zh-CN"/>
        </w:rPr>
      </w:pPr>
      <w:r>
        <w:rPr>
          <w:rFonts w:hint="eastAsia" w:ascii="宋体" w:hAnsi="宋体" w:eastAsia="楷体_GB2312" w:cs="楷体_GB2312"/>
          <w:color w:val="auto"/>
          <w:sz w:val="32"/>
          <w:szCs w:val="32"/>
          <w:highlight w:val="none"/>
          <w:lang w:val="en-US" w:eastAsia="zh-CN"/>
        </w:rPr>
        <w:t>（六）对外大额捐赠、赞助情况</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t>202</w:t>
      </w:r>
      <w:r>
        <w:rPr>
          <w:rFonts w:hint="eastAsia" w:ascii="宋体" w:hAnsi="宋体" w:eastAsia="仿宋_GB2312" w:cs="仿宋_GB2312"/>
          <w:color w:val="auto"/>
          <w:sz w:val="32"/>
          <w:szCs w:val="32"/>
          <w:lang w:val="en-US" w:eastAsia="zh-CN"/>
        </w:rPr>
        <w:t>2</w:t>
      </w:r>
      <w:r>
        <w:rPr>
          <w:rFonts w:hint="eastAsia" w:ascii="宋体" w:hAnsi="宋体" w:eastAsia="仿宋_GB2312" w:cs="仿宋_GB2312"/>
          <w:color w:val="auto"/>
          <w:sz w:val="32"/>
          <w:szCs w:val="32"/>
        </w:rPr>
        <w:t>年，集团公司累计对外捐赠2268</w:t>
      </w:r>
      <w:r>
        <w:rPr>
          <w:rFonts w:hint="eastAsia" w:ascii="宋体" w:hAnsi="宋体" w:eastAsia="仿宋_GB2312" w:cs="仿宋_GB2312"/>
          <w:color w:val="auto"/>
          <w:sz w:val="32"/>
          <w:szCs w:val="32"/>
          <w:lang w:val="en-US" w:eastAsia="zh-CN"/>
        </w:rPr>
        <w:t>.</w:t>
      </w:r>
      <w:r>
        <w:rPr>
          <w:rFonts w:hint="eastAsia" w:ascii="宋体" w:hAnsi="宋体" w:eastAsia="仿宋_GB2312" w:cs="仿宋_GB2312"/>
          <w:color w:val="auto"/>
          <w:sz w:val="32"/>
          <w:szCs w:val="32"/>
        </w:rPr>
        <w:t>09万元，均为响应国家、省委省政府及慈善组织号召进行的捐款，主要包括：集团公司向</w:t>
      </w:r>
      <w:r>
        <w:rPr>
          <w:rFonts w:hint="eastAsia" w:ascii="宋体" w:hAnsi="宋体" w:eastAsia="仿宋_GB2312" w:cs="仿宋_GB2312"/>
          <w:color w:val="auto"/>
          <w:sz w:val="32"/>
          <w:szCs w:val="32"/>
          <w:lang w:val="en-US" w:eastAsia="zh-CN"/>
        </w:rPr>
        <w:t>山东省慈善总会捐赠500万元；青岛港、日照港、烟台港、渤海湾港向所在地市捐赠新冠防疫物资及资金483.55万元；</w:t>
      </w:r>
      <w:r>
        <w:rPr>
          <w:rFonts w:hint="eastAsia" w:ascii="宋体" w:hAnsi="宋体" w:eastAsia="仿宋_GB2312" w:cs="仿宋_GB2312"/>
          <w:color w:val="auto"/>
          <w:sz w:val="32"/>
          <w:szCs w:val="32"/>
        </w:rPr>
        <w:t>青岛港</w:t>
      </w:r>
      <w:r>
        <w:rPr>
          <w:rFonts w:hint="eastAsia" w:ascii="宋体" w:hAnsi="宋体" w:eastAsia="仿宋_GB2312" w:cs="仿宋_GB2312"/>
          <w:color w:val="auto"/>
          <w:sz w:val="32"/>
          <w:szCs w:val="32"/>
          <w:lang w:val="en-US" w:eastAsia="zh-CN"/>
        </w:rPr>
        <w:t>向</w:t>
      </w:r>
      <w:r>
        <w:rPr>
          <w:rFonts w:hint="eastAsia" w:ascii="宋体" w:hAnsi="宋体" w:eastAsia="仿宋_GB2312" w:cs="仿宋_GB2312"/>
          <w:color w:val="auto"/>
          <w:sz w:val="32"/>
          <w:szCs w:val="32"/>
        </w:rPr>
        <w:t>山东省鲁信公益基金会</w:t>
      </w:r>
      <w:r>
        <w:rPr>
          <w:rFonts w:hint="eastAsia" w:ascii="宋体" w:hAnsi="宋体" w:eastAsia="仿宋_GB2312" w:cs="仿宋_GB2312"/>
          <w:color w:val="auto"/>
          <w:sz w:val="32"/>
          <w:szCs w:val="32"/>
          <w:lang w:val="en-US" w:eastAsia="zh-CN"/>
        </w:rPr>
        <w:t>捐赠350万元</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z w:val="32"/>
          <w:szCs w:val="32"/>
          <w:lang w:val="en-US" w:eastAsia="zh-CN"/>
        </w:rPr>
        <w:t>投控集团向国家乡村振兴重点帮扶县捐赠218万元；集团公司向</w:t>
      </w:r>
      <w:r>
        <w:rPr>
          <w:rFonts w:hint="eastAsia" w:ascii="宋体" w:hAnsi="宋体" w:eastAsia="仿宋_GB2312" w:cs="仿宋_GB2312"/>
          <w:color w:val="auto"/>
          <w:sz w:val="32"/>
          <w:szCs w:val="32"/>
        </w:rPr>
        <w:t>山东省妇女儿童发展基金会捐赠100万元</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z w:val="32"/>
          <w:szCs w:val="32"/>
          <w:lang w:val="en-US" w:eastAsia="zh-CN"/>
        </w:rPr>
        <w:t>青岛港</w:t>
      </w:r>
      <w:r>
        <w:rPr>
          <w:rFonts w:hint="eastAsia" w:ascii="宋体" w:hAnsi="宋体" w:eastAsia="仿宋_GB2312" w:cs="仿宋_GB2312"/>
          <w:color w:val="auto"/>
          <w:sz w:val="32"/>
          <w:szCs w:val="32"/>
        </w:rPr>
        <w:t>向山东省公安民警优抚基金会青岛优抚专项基金捐赠100万元</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z w:val="32"/>
          <w:szCs w:val="32"/>
          <w:lang w:val="en-US" w:eastAsia="zh-CN"/>
        </w:rPr>
        <w:t>集团公司及权属单位</w:t>
      </w:r>
      <w:r>
        <w:rPr>
          <w:rFonts w:hint="eastAsia" w:ascii="宋体" w:hAnsi="宋体" w:eastAsia="仿宋_GB2312" w:cs="仿宋_GB2312"/>
          <w:color w:val="auto"/>
          <w:sz w:val="32"/>
          <w:szCs w:val="32"/>
        </w:rPr>
        <w:t>其他捐赠</w:t>
      </w:r>
      <w:r>
        <w:rPr>
          <w:rFonts w:hint="eastAsia" w:ascii="宋体" w:hAnsi="宋体" w:eastAsia="仿宋_GB2312" w:cs="仿宋_GB2312"/>
          <w:color w:val="auto"/>
          <w:sz w:val="32"/>
          <w:szCs w:val="32"/>
          <w:lang w:val="en-US" w:eastAsia="zh-CN"/>
        </w:rPr>
        <w:t>共计516.54万元</w:t>
      </w:r>
      <w:r>
        <w:rPr>
          <w:rFonts w:hint="eastAsia" w:ascii="宋体" w:hAnsi="宋体" w:eastAsia="仿宋_GB2312" w:cs="仿宋_GB2312"/>
          <w:color w:val="auto"/>
          <w:sz w:val="32"/>
          <w:szCs w:val="32"/>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黑体"/>
          <w:b w:val="0"/>
          <w:bCs w:val="0"/>
          <w:color w:val="auto"/>
          <w:sz w:val="32"/>
          <w:szCs w:val="32"/>
        </w:rPr>
      </w:pPr>
      <w:r>
        <w:rPr>
          <w:rFonts w:hint="eastAsia" w:ascii="宋体" w:hAnsi="宋体" w:eastAsia="黑体"/>
          <w:b w:val="0"/>
          <w:bCs w:val="0"/>
          <w:color w:val="auto"/>
          <w:sz w:val="32"/>
          <w:szCs w:val="32"/>
          <w:lang w:val="en-US" w:eastAsia="zh-CN"/>
        </w:rPr>
        <w:t>八</w:t>
      </w:r>
      <w:r>
        <w:rPr>
          <w:rFonts w:hint="eastAsia" w:ascii="宋体" w:hAnsi="宋体" w:eastAsia="黑体"/>
          <w:b w:val="0"/>
          <w:bCs w:val="0"/>
          <w:color w:val="auto"/>
          <w:sz w:val="32"/>
          <w:szCs w:val="32"/>
        </w:rPr>
        <w:t>、履职待遇及有关业务支出情况</w:t>
      </w:r>
    </w:p>
    <w:p>
      <w:pPr>
        <w:pageBreakBefore w:val="0"/>
        <w:kinsoku/>
        <w:wordWrap/>
        <w:overflowPunct/>
        <w:topLinePunct w:val="0"/>
        <w:autoSpaceDE/>
        <w:autoSpaceDN/>
        <w:bidi w:val="0"/>
        <w:spacing w:line="560" w:lineRule="exact"/>
        <w:ind w:firstLine="640" w:firstLineChars="200"/>
        <w:textAlignment w:val="auto"/>
        <w:rPr>
          <w:rFonts w:hint="eastAsia" w:ascii="宋体" w:hAnsi="宋体" w:eastAsia="仿宋_GB2312" w:cs="仿宋_GB2312"/>
          <w:color w:val="auto"/>
          <w:sz w:val="32"/>
          <w:szCs w:val="32"/>
          <w:u w:val="single"/>
        </w:rPr>
      </w:pPr>
      <w:r>
        <w:rPr>
          <w:rFonts w:hint="eastAsia" w:ascii="宋体" w:hAnsi="宋体" w:eastAsia="仿宋_GB2312" w:cs="仿宋_GB2312"/>
          <w:color w:val="auto"/>
          <w:sz w:val="32"/>
          <w:szCs w:val="32"/>
          <w:u w:val="none"/>
          <w:lang w:val="en-US" w:eastAsia="zh-CN"/>
        </w:rPr>
        <w:t>2022年度，企业负责人（含财务总监）交通补贴共计13.26万元。</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60" w:lineRule="exact"/>
        <w:ind w:left="0" w:firstLine="640" w:firstLineChars="200"/>
        <w:jc w:val="left"/>
        <w:textAlignment w:val="auto"/>
        <w:rPr>
          <w:rFonts w:ascii="宋体" w:hAnsi="宋体" w:eastAsia="微软雅黑" w:cs="微软雅黑"/>
          <w:i w:val="0"/>
          <w:iCs w:val="0"/>
          <w:caps w:val="0"/>
          <w:color w:val="000000"/>
          <w:spacing w:val="0"/>
          <w:sz w:val="27"/>
          <w:szCs w:val="27"/>
        </w:rPr>
      </w:pPr>
      <w:r>
        <w:rPr>
          <w:rFonts w:ascii="宋体" w:hAnsi="宋体" w:eastAsia="黑体" w:cs="黑体"/>
          <w:b w:val="0"/>
          <w:bCs w:val="0"/>
          <w:i w:val="0"/>
          <w:iCs w:val="0"/>
          <w:caps w:val="0"/>
          <w:color w:val="000000"/>
          <w:spacing w:val="0"/>
          <w:kern w:val="0"/>
          <w:sz w:val="32"/>
          <w:szCs w:val="32"/>
          <w:shd w:val="clear" w:color="auto" w:fill="FFFFFF"/>
          <w:lang w:val="en-US" w:eastAsia="zh-CN" w:bidi="ar"/>
        </w:rPr>
        <w:t>九、内部控制</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60" w:lineRule="exact"/>
        <w:ind w:left="0" w:firstLine="640" w:firstLineChars="200"/>
        <w:jc w:val="left"/>
        <w:textAlignment w:val="auto"/>
        <w:rPr>
          <w:rFonts w:hint="eastAsia" w:ascii="宋体" w:hAnsi="宋体" w:eastAsia="微软雅黑" w:cs="微软雅黑"/>
          <w:i w:val="0"/>
          <w:iCs w:val="0"/>
          <w:caps w:val="0"/>
          <w:color w:val="000000"/>
          <w:spacing w:val="0"/>
          <w:sz w:val="27"/>
          <w:szCs w:val="27"/>
        </w:rPr>
      </w:pPr>
      <w:r>
        <w:rPr>
          <w:rFonts w:ascii="宋体" w:hAnsi="宋体" w:eastAsia="楷体_GB2312" w:cs="楷体_GB2312"/>
          <w:b w:val="0"/>
          <w:bCs w:val="0"/>
          <w:i w:val="0"/>
          <w:iCs w:val="0"/>
          <w:caps w:val="0"/>
          <w:color w:val="000000"/>
          <w:spacing w:val="0"/>
          <w:kern w:val="0"/>
          <w:sz w:val="32"/>
          <w:szCs w:val="32"/>
          <w:shd w:val="clear" w:color="auto" w:fill="FFFFFF"/>
          <w:lang w:val="en-US" w:eastAsia="zh-CN" w:bidi="ar"/>
        </w:rPr>
        <w:t>（一）内部控制责任声明</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60" w:lineRule="exact"/>
        <w:ind w:left="0" w:firstLine="640" w:firstLineChars="200"/>
        <w:jc w:val="left"/>
        <w:textAlignment w:val="auto"/>
        <w:rPr>
          <w:rFonts w:hint="eastAsia" w:ascii="宋体" w:hAnsi="宋体" w:eastAsia="微软雅黑" w:cs="微软雅黑"/>
          <w:i w:val="0"/>
          <w:iCs w:val="0"/>
          <w:caps w:val="0"/>
          <w:color w:val="000000"/>
          <w:spacing w:val="0"/>
          <w:sz w:val="27"/>
          <w:szCs w:val="27"/>
        </w:rPr>
      </w:pPr>
      <w:r>
        <w:rPr>
          <w:rFonts w:ascii="宋体" w:hAnsi="宋体" w:eastAsia="仿宋_GB2312" w:cs="仿宋_GB2312"/>
          <w:b w:val="0"/>
          <w:bCs w:val="0"/>
          <w:i w:val="0"/>
          <w:iCs w:val="0"/>
          <w:caps w:val="0"/>
          <w:color w:val="000000"/>
          <w:spacing w:val="0"/>
          <w:kern w:val="0"/>
          <w:sz w:val="32"/>
          <w:szCs w:val="32"/>
          <w:shd w:val="clear" w:color="auto" w:fill="FFFFFF"/>
          <w:lang w:val="en-US" w:eastAsia="zh-CN" w:bidi="ar"/>
        </w:rPr>
        <w:t>集团董事会对建立健全和有效实施内部控制负责。内部控制的目标是合理保证经营管理合法合规、资产安全、财务报告及相关信息真实完整，提高经营效率和效果，促进实现发展战略。由于内部控制存在的固有局限性，仅能为实现上述目标提供合理保证。集团已建立较为全面的内部控制及规范体系，管理进一步制度化、规范化。报告期内，集团董事会认真履行内部控制建立健全和有效实施职责。</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60" w:lineRule="exact"/>
        <w:ind w:left="0" w:firstLine="640" w:firstLineChars="200"/>
        <w:jc w:val="left"/>
        <w:textAlignment w:val="auto"/>
        <w:rPr>
          <w:rFonts w:hint="eastAsia" w:ascii="宋体" w:hAnsi="宋体" w:eastAsia="微软雅黑" w:cs="微软雅黑"/>
          <w:i w:val="0"/>
          <w:iCs w:val="0"/>
          <w:caps w:val="0"/>
          <w:color w:val="000000"/>
          <w:spacing w:val="0"/>
          <w:sz w:val="27"/>
          <w:szCs w:val="27"/>
        </w:rPr>
      </w:pPr>
      <w:r>
        <w:rPr>
          <w:rFonts w:ascii="宋体" w:hAnsi="宋体" w:eastAsia="楷体_GB2312" w:cs="楷体_GB2312"/>
          <w:b w:val="0"/>
          <w:bCs w:val="0"/>
          <w:i w:val="0"/>
          <w:iCs w:val="0"/>
          <w:caps w:val="0"/>
          <w:color w:val="000000"/>
          <w:spacing w:val="0"/>
          <w:kern w:val="0"/>
          <w:sz w:val="32"/>
          <w:szCs w:val="32"/>
          <w:shd w:val="clear" w:color="auto" w:fill="FFFFFF"/>
          <w:lang w:val="en-US" w:eastAsia="zh-CN" w:bidi="ar"/>
        </w:rPr>
        <w:t>（二）内部控制制度建设情况</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60" w:lineRule="exact"/>
        <w:ind w:left="0" w:firstLine="640" w:firstLineChars="200"/>
        <w:jc w:val="left"/>
        <w:textAlignment w:val="auto"/>
        <w:rPr>
          <w:rFonts w:ascii="宋体" w:hAnsi="宋体" w:eastAsia="仿宋_GB2312" w:cs="仿宋_GB2312"/>
          <w:b w:val="0"/>
          <w:bCs w:val="0"/>
          <w:i w:val="0"/>
          <w:iCs w:val="0"/>
          <w:caps w:val="0"/>
          <w:color w:val="000000"/>
          <w:spacing w:val="0"/>
          <w:kern w:val="0"/>
          <w:sz w:val="32"/>
          <w:szCs w:val="32"/>
          <w:shd w:val="clear" w:color="auto" w:fill="FFFFFF"/>
          <w:lang w:val="en-US" w:eastAsia="zh-CN" w:bidi="ar"/>
        </w:rPr>
      </w:pPr>
      <w:r>
        <w:rPr>
          <w:rFonts w:ascii="宋体" w:hAnsi="宋体" w:eastAsia="仿宋_GB2312" w:cs="仿宋_GB2312"/>
          <w:b w:val="0"/>
          <w:bCs w:val="0"/>
          <w:i w:val="0"/>
          <w:iCs w:val="0"/>
          <w:caps w:val="0"/>
          <w:color w:val="000000"/>
          <w:spacing w:val="0"/>
          <w:kern w:val="0"/>
          <w:sz w:val="32"/>
          <w:szCs w:val="32"/>
          <w:shd w:val="clear" w:color="auto" w:fill="FFFFFF"/>
          <w:lang w:val="en-US" w:eastAsia="zh-CN" w:bidi="ar"/>
        </w:rPr>
        <w:t>集团严格按照《企业内部控制基本规范》《企业内部控制应用指引》《企业内部控制评价指引》的规定，规范完善了企业组织架构、发展战略、人力资源、社会责任、企业文化、风险控制、资金活动、采购业务、资产管理</w:t>
      </w:r>
      <w:r>
        <w:rPr>
          <w:rFonts w:ascii="宋体" w:hAnsi="宋体" w:eastAsia="仿宋_GB2312" w:cs="仿宋_GB2312"/>
          <w:b w:val="0"/>
          <w:bCs w:val="0"/>
          <w:i w:val="0"/>
          <w:iCs w:val="0"/>
          <w:caps w:val="0"/>
          <w:color w:val="000000"/>
          <w:spacing w:val="0"/>
          <w:kern w:val="0"/>
          <w:sz w:val="32"/>
          <w:szCs w:val="32"/>
          <w:highlight w:val="none"/>
          <w:shd w:val="clear" w:color="auto" w:fill="FFFFFF"/>
          <w:lang w:val="en-US" w:eastAsia="zh-CN" w:bidi="ar"/>
        </w:rPr>
        <w:t>、工程项目、财务报告、全面预算、合同管理、信息与沟通等</w:t>
      </w:r>
      <w:r>
        <w:rPr>
          <w:rFonts w:hint="eastAsia" w:ascii="宋体" w:hAnsi="宋体" w:eastAsia="仿宋_GB2312" w:cs="仿宋_GB2312"/>
          <w:b w:val="0"/>
          <w:bCs w:val="0"/>
          <w:i w:val="0"/>
          <w:iCs w:val="0"/>
          <w:caps w:val="0"/>
          <w:color w:val="000000"/>
          <w:spacing w:val="0"/>
          <w:kern w:val="0"/>
          <w:sz w:val="32"/>
          <w:szCs w:val="32"/>
          <w:highlight w:val="none"/>
          <w:shd w:val="clear" w:color="auto" w:fill="FFFFFF"/>
          <w:lang w:val="en-US" w:eastAsia="zh-CN" w:bidi="ar"/>
        </w:rPr>
        <w:t>二</w:t>
      </w:r>
      <w:r>
        <w:rPr>
          <w:rFonts w:ascii="宋体" w:hAnsi="宋体" w:eastAsia="仿宋_GB2312" w:cs="仿宋_GB2312"/>
          <w:b w:val="0"/>
          <w:bCs w:val="0"/>
          <w:i w:val="0"/>
          <w:iCs w:val="0"/>
          <w:caps w:val="0"/>
          <w:color w:val="000000"/>
          <w:spacing w:val="0"/>
          <w:kern w:val="0"/>
          <w:sz w:val="32"/>
          <w:szCs w:val="32"/>
          <w:highlight w:val="none"/>
          <w:shd w:val="clear" w:color="auto" w:fill="FFFFFF"/>
          <w:lang w:val="en-US" w:eastAsia="zh-CN" w:bidi="ar"/>
        </w:rPr>
        <w:t>百</w:t>
      </w:r>
      <w:r>
        <w:rPr>
          <w:rFonts w:hint="eastAsia" w:ascii="宋体" w:hAnsi="宋体" w:eastAsia="仿宋_GB2312" w:cs="仿宋_GB2312"/>
          <w:b w:val="0"/>
          <w:bCs w:val="0"/>
          <w:i w:val="0"/>
          <w:iCs w:val="0"/>
          <w:caps w:val="0"/>
          <w:color w:val="000000"/>
          <w:spacing w:val="0"/>
          <w:kern w:val="0"/>
          <w:sz w:val="32"/>
          <w:szCs w:val="32"/>
          <w:highlight w:val="none"/>
          <w:shd w:val="clear" w:color="auto" w:fill="FFFFFF"/>
          <w:lang w:val="en-US" w:eastAsia="zh-CN" w:bidi="ar"/>
        </w:rPr>
        <w:t>三</w:t>
      </w:r>
      <w:r>
        <w:rPr>
          <w:rFonts w:ascii="宋体" w:hAnsi="宋体" w:eastAsia="仿宋_GB2312" w:cs="仿宋_GB2312"/>
          <w:b w:val="0"/>
          <w:bCs w:val="0"/>
          <w:i w:val="0"/>
          <w:iCs w:val="0"/>
          <w:caps w:val="0"/>
          <w:color w:val="000000"/>
          <w:spacing w:val="0"/>
          <w:kern w:val="0"/>
          <w:sz w:val="32"/>
          <w:szCs w:val="32"/>
          <w:highlight w:val="none"/>
          <w:shd w:val="clear" w:color="auto" w:fill="FFFFFF"/>
          <w:lang w:val="en-US" w:eastAsia="zh-CN" w:bidi="ar"/>
        </w:rPr>
        <w:t>十余</w:t>
      </w:r>
      <w:r>
        <w:rPr>
          <w:rFonts w:ascii="宋体" w:hAnsi="宋体" w:eastAsia="仿宋_GB2312" w:cs="仿宋_GB2312"/>
          <w:b w:val="0"/>
          <w:bCs w:val="0"/>
          <w:i w:val="0"/>
          <w:iCs w:val="0"/>
          <w:caps w:val="0"/>
          <w:color w:val="000000"/>
          <w:spacing w:val="0"/>
          <w:kern w:val="0"/>
          <w:sz w:val="32"/>
          <w:szCs w:val="32"/>
          <w:shd w:val="clear" w:color="auto" w:fill="FFFFFF"/>
          <w:lang w:val="en-US" w:eastAsia="zh-CN" w:bidi="ar"/>
        </w:rPr>
        <w:t>项内部控制制度，实现了集团内部控制的规范有效。</w:t>
      </w:r>
    </w:p>
    <w:p>
      <w:pPr>
        <w:keepNext w:val="0"/>
        <w:keepLines w:val="0"/>
        <w:pageBreakBefore w:val="0"/>
        <w:widowControl/>
        <w:suppressLineNumbers w:val="0"/>
        <w:shd w:val="clear" w:color="auto" w:fill="FFFFFF"/>
        <w:kinsoku/>
        <w:wordWrap/>
        <w:overflowPunct/>
        <w:topLinePunct w:val="0"/>
        <w:autoSpaceDE/>
        <w:autoSpaceDN/>
        <w:bidi w:val="0"/>
        <w:adjustRightInd/>
        <w:snapToGrid/>
        <w:ind w:left="0" w:firstLine="420" w:firstLineChars="200"/>
        <w:jc w:val="left"/>
        <w:textAlignment w:val="auto"/>
        <w:rPr>
          <w:rFonts w:hint="eastAsia" w:ascii="宋体" w:hAnsi="宋体" w:eastAsia="楷体_GB2312" w:cs="楷体_GB2312"/>
          <w:b w:val="0"/>
          <w:bCs w:val="0"/>
          <w:i w:val="0"/>
          <w:iCs w:val="0"/>
          <w:caps w:val="0"/>
          <w:color w:val="000000"/>
          <w:spacing w:val="0"/>
          <w:kern w:val="0"/>
          <w:sz w:val="32"/>
          <w:szCs w:val="32"/>
          <w:shd w:val="clear" w:color="auto" w:fill="FFFFFF"/>
          <w:lang w:val="en-US" w:eastAsia="zh-CN" w:bidi="ar"/>
        </w:rPr>
      </w:pPr>
      <w:r>
        <w:rPr>
          <w:rFonts w:ascii="宋体" w:hAnsi="宋体"/>
        </w:rPr>
        <w:drawing>
          <wp:anchor distT="0" distB="0" distL="114300" distR="114300" simplePos="0" relativeHeight="251662336" behindDoc="0" locked="0" layoutInCell="1" allowOverlap="1">
            <wp:simplePos x="0" y="0"/>
            <wp:positionH relativeFrom="column">
              <wp:posOffset>161925</wp:posOffset>
            </wp:positionH>
            <wp:positionV relativeFrom="paragraph">
              <wp:posOffset>572770</wp:posOffset>
            </wp:positionV>
            <wp:extent cx="5524500" cy="8086725"/>
            <wp:effectExtent l="0" t="0" r="0" b="9525"/>
            <wp:wrapTopAndBottom/>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5524500" cy="8086725"/>
                    </a:xfrm>
                    <a:prstGeom prst="rect">
                      <a:avLst/>
                    </a:prstGeom>
                    <a:noFill/>
                    <a:ln>
                      <a:noFill/>
                    </a:ln>
                  </pic:spPr>
                </pic:pic>
              </a:graphicData>
            </a:graphic>
          </wp:anchor>
        </w:drawing>
      </w:r>
      <w:r>
        <w:rPr>
          <w:rFonts w:hint="eastAsia" w:ascii="宋体" w:hAnsi="宋体" w:eastAsia="楷体_GB2312" w:cs="楷体_GB2312"/>
          <w:b w:val="0"/>
          <w:bCs w:val="0"/>
          <w:i w:val="0"/>
          <w:iCs w:val="0"/>
          <w:caps w:val="0"/>
          <w:color w:val="000000"/>
          <w:spacing w:val="0"/>
          <w:kern w:val="0"/>
          <w:sz w:val="32"/>
          <w:szCs w:val="32"/>
          <w:shd w:val="clear" w:color="auto" w:fill="FFFFFF"/>
          <w:lang w:val="en-US" w:eastAsia="zh-CN" w:bidi="ar"/>
        </w:rPr>
        <w:t>（三）内部控制审计报告</w:t>
      </w:r>
    </w:p>
    <w:p>
      <w:pPr>
        <w:keepNext w:val="0"/>
        <w:keepLines w:val="0"/>
        <w:widowControl/>
        <w:suppressLineNumbers w:val="0"/>
        <w:shd w:val="clear" w:color="auto" w:fill="FFFFFF"/>
        <w:ind w:left="0" w:firstLine="0"/>
        <w:jc w:val="left"/>
        <w:rPr>
          <w:rFonts w:hint="default" w:ascii="宋体" w:hAnsi="宋体" w:eastAsia="仿宋_GB2312" w:cs="仿宋_GB2312"/>
          <w:b w:val="0"/>
          <w:bCs w:val="0"/>
          <w:i w:val="0"/>
          <w:iCs w:val="0"/>
          <w:caps w:val="0"/>
          <w:color w:val="000000"/>
          <w:spacing w:val="0"/>
          <w:kern w:val="0"/>
          <w:sz w:val="32"/>
          <w:szCs w:val="32"/>
          <w:shd w:val="clear" w:color="auto" w:fill="FFFFFF"/>
          <w:lang w:val="en-US" w:eastAsia="zh-CN" w:bidi="ar"/>
        </w:rPr>
      </w:pPr>
      <w:r>
        <w:rPr>
          <w:rFonts w:ascii="宋体" w:hAnsi="宋体"/>
        </w:rPr>
        <w:drawing>
          <wp:inline distT="0" distB="0" distL="114300" distR="114300">
            <wp:extent cx="5515610" cy="8114030"/>
            <wp:effectExtent l="0" t="0" r="8890" b="12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5515610" cy="811403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宋体" w:hAnsi="宋体" w:eastAsia="仿宋_GB2312" w:cs="仿宋_GB2312"/>
          <w:sz w:val="32"/>
          <w:szCs w:val="32"/>
          <w:lang w:val="en-US" w:eastAsia="zh-CN"/>
        </w:rPr>
        <w:sectPr>
          <w:pgSz w:w="11906" w:h="16838"/>
          <w:pgMar w:top="2098" w:right="1474" w:bottom="1984" w:left="1587" w:header="851" w:footer="992" w:gutter="0"/>
          <w:pgNumType w:fmt="decimal"/>
          <w:cols w:space="720"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宋体" w:hAnsi="宋体" w:eastAsia="仿宋_GB2312" w:cs="仿宋_GB2312"/>
          <w:sz w:val="32"/>
          <w:szCs w:val="32"/>
          <w:lang w:val="en-US" w:eastAsia="zh-CN"/>
        </w:rPr>
      </w:pPr>
      <w:r>
        <w:rPr>
          <w:rFonts w:hint="eastAsia" w:ascii="宋体" w:hAnsi="宋体" w:eastAsia="黑体" w:cs="Times New Roman"/>
          <w:sz w:val="32"/>
          <w:szCs w:val="32"/>
          <w:lang w:val="en-US" w:eastAsia="zh-CN"/>
        </w:rPr>
        <w:t>十、审计报告</w:t>
      </w:r>
      <w:r>
        <w:rPr>
          <w:rFonts w:hint="default" w:ascii="宋体" w:hAnsi="宋体" w:eastAsia="黑体" w:cs="Times New Roman"/>
          <w:sz w:val="32"/>
          <w:szCs w:val="32"/>
          <w:lang w:val="en-US" w:eastAsia="zh-CN"/>
        </w:rPr>
        <w:drawing>
          <wp:anchor distT="0" distB="0" distL="114300" distR="114300" simplePos="0" relativeHeight="251660288" behindDoc="0" locked="0" layoutInCell="1" allowOverlap="1">
            <wp:simplePos x="0" y="0"/>
            <wp:positionH relativeFrom="column">
              <wp:posOffset>88265</wp:posOffset>
            </wp:positionH>
            <wp:positionV relativeFrom="paragraph">
              <wp:posOffset>408305</wp:posOffset>
            </wp:positionV>
            <wp:extent cx="5436870" cy="7503795"/>
            <wp:effectExtent l="0" t="0" r="11430" b="1905"/>
            <wp:wrapSquare wrapText="bothSides"/>
            <wp:docPr id="3" name="图片 16" descr="C:\Users\lenovo\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C:\Users\lenovo\Desktop\1.png1"/>
                    <pic:cNvPicPr>
                      <a:picLocks noChangeAspect="1"/>
                    </pic:cNvPicPr>
                  </pic:nvPicPr>
                  <pic:blipFill>
                    <a:blip r:embed="rId9"/>
                    <a:srcRect/>
                    <a:stretch>
                      <a:fillRect/>
                    </a:stretch>
                  </pic:blipFill>
                  <pic:spPr>
                    <a:xfrm>
                      <a:off x="0" y="0"/>
                      <a:ext cx="5436870" cy="750379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60325</wp:posOffset>
            </wp:positionH>
            <wp:positionV relativeFrom="paragraph">
              <wp:posOffset>325755</wp:posOffset>
            </wp:positionV>
            <wp:extent cx="5575935" cy="7757795"/>
            <wp:effectExtent l="0" t="0" r="5715" b="14605"/>
            <wp:wrapNone/>
            <wp:docPr id="4" name="图片 17" descr="C:\Users\lenovo\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C:\Users\lenovo\Desktop\2.png2"/>
                    <pic:cNvPicPr>
                      <a:picLocks noChangeAspect="1"/>
                    </pic:cNvPicPr>
                  </pic:nvPicPr>
                  <pic:blipFill>
                    <a:blip r:embed="rId10"/>
                    <a:srcRect/>
                    <a:stretch>
                      <a:fillRect/>
                    </a:stretch>
                  </pic:blipFill>
                  <pic:spPr>
                    <a:xfrm>
                      <a:off x="0" y="0"/>
                      <a:ext cx="5575935" cy="775779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仿宋_GB2312" w:cs="仿宋_GB2312"/>
          <w:sz w:val="32"/>
          <w:szCs w:val="32"/>
          <w:lang w:val="en-US" w:eastAsia="zh-CN"/>
        </w:rPr>
      </w:pPr>
    </w:p>
    <w:sectPr>
      <w:pgSz w:w="11906" w:h="16838"/>
      <w:pgMar w:top="2098" w:right="1474" w:bottom="1984"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252"/>
        <w:tab w:val="right" w:pos="8640"/>
        <w:tab w:val="clear" w:pos="4153"/>
        <w:tab w:val="clear" w:pos="8306"/>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eastAsiaTheme="minorEastAsia" w:cstheme="minorEastAsia"/>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eastAsiaTheme="minorEastAsia" w:cstheme="minorEastAsia"/>
                        <w:sz w:val="28"/>
                        <w:szCs w:val="44"/>
                      </w:rPr>
                      <w:t xml:space="preserve"> —</w:t>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tabs>
                              <w:tab w:val="center" w:pos="4320"/>
                              <w:tab w:val="right" w:pos="8640"/>
                              <w:tab w:val="clear" w:pos="4153"/>
                              <w:tab w:val="clear" w:pos="8306"/>
                            </w:tabs>
                            <w:rPr>
                              <w:rStyle w:val="14"/>
                              <w:rFonts w:hint="eastAsia" w:ascii="宋体" w:hAnsi="宋体" w:eastAsia="宋体"/>
                              <w:sz w:val="20"/>
                              <w:lang w:val="en-US" w:eastAsia="zh-CN"/>
                            </w:rPr>
                          </w:pP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fB6d4BAAC+AwAADgAAAGRycy9lMm9Eb2MueG1srVPBjtMwEL0j8Q+W&#10;7zTZHlZV1HQFW+0KCQHSwge4jtNYsj3W2G1SPgD+gBMX7nxXv4Oxk3RhueyBSzKeGb+Z92a8vhms&#10;YUeFQYOr+dWi5Ew5CY12+5p//nT3asVZiMI1woBTNT+pwG82L1+se1+pJXRgGoWMQFyoel/zLkZf&#10;FUWQnbIiLMArR8EW0IpIR9wXDYqe0K0plmV5XfSAjUeQKgTybscgnxDxOYDQtlqqLciDVS6OqKiM&#10;iEQpdNoHvsndtq2S8UPbBhWZqTkxjflLRcjepW+xWYtqj8J3Wk4tiOe08ISTFdpR0QvUVkTBDqj/&#10;gbJaIgRo40KCLUYiWRFicVU+0eahE15lLiR18BfRw/+Dle+PH5HppubXnDlhaeDn79/OP36df35l&#10;yyRP70NFWQ+e8uLwBgZamtkfyJlYDy3a9Cc+jOIk7ukirhoik+nSarlalRSSFJsPhF88XvcY4r0C&#10;y5JRc6TpZVHF8V2IY+qckqo5uNPG5Aka95eDMJOnSL2PPSYrDrthIrSD5kR86BlQnQ7wC2c9LUHN&#10;He08Z+atI43TvswGzsZuNoSTdLHmkbPRvI3jXh086n2XNy01FfzrQ6ROM4HUxlh76o7GmiWYVjDt&#10;zZ/nnPX47D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GN8Hp3gEAAL4DAAAOAAAAAAAA&#10;AAEAIAAAAB4BAABkcnMvZTJvRG9jLnhtbFBLBQYAAAAABgAGAFkBAABuBQAAAAA=&#10;">
              <v:fill on="f" focussize="0,0"/>
              <v:stroke on="f"/>
              <v:imagedata o:title=""/>
              <o:lock v:ext="edit" aspectratio="f"/>
              <v:textbox inset="0mm,0mm,0mm,0mm" style="mso-fit-shape-to-text:t;">
                <w:txbxContent>
                  <w:p>
                    <w:pPr>
                      <w:pStyle w:val="9"/>
                      <w:tabs>
                        <w:tab w:val="center" w:pos="4320"/>
                        <w:tab w:val="right" w:pos="8640"/>
                        <w:tab w:val="clear" w:pos="4153"/>
                        <w:tab w:val="clear" w:pos="8306"/>
                      </w:tabs>
                      <w:rPr>
                        <w:rStyle w:val="14"/>
                        <w:rFonts w:hint="eastAsia" w:ascii="宋体" w:hAnsi="宋体" w:eastAsia="宋体"/>
                        <w:sz w:val="20"/>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tabs>
        <w:tab w:val="center" w:pos="4320"/>
        <w:tab w:val="right" w:pos="8640"/>
        <w:tab w:val="clear" w:pos="4153"/>
        <w:tab w:val="clear" w:pos="8306"/>
      </w:tabs>
      <w:rPr>
        <w:rStyle w:val="14"/>
      </w:rPr>
    </w:pPr>
    <w:r>
      <w:fldChar w:fldCharType="begin"/>
    </w:r>
    <w:r>
      <w:rPr>
        <w:rStyle w:val="14"/>
      </w:rPr>
      <w:instrText xml:space="preserve">PAGE  </w:instrText>
    </w:r>
    <w:r>
      <w:fldChar w:fldCharType="end"/>
    </w:r>
  </w:p>
  <w:p>
    <w:pPr>
      <w:pStyle w:val="9"/>
      <w:tabs>
        <w:tab w:val="center" w:pos="4320"/>
        <w:tab w:val="right" w:pos="8640"/>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28"/>
                              <w:szCs w:val="44"/>
                            </w:rPr>
                          </w:pPr>
                          <w:r>
                            <w:rPr>
                              <w:sz w:val="28"/>
                              <w:szCs w:val="44"/>
                            </w:rPr>
                            <w:t xml:space="preserve">— </w:t>
                          </w:r>
                          <w:r>
                            <w:rPr>
                              <w:sz w:val="28"/>
                              <w:szCs w:val="44"/>
                            </w:rPr>
                            <w:fldChar w:fldCharType="begin"/>
                          </w:r>
                          <w:r>
                            <w:rPr>
                              <w:sz w:val="28"/>
                              <w:szCs w:val="44"/>
                            </w:rPr>
                            <w:instrText xml:space="preserve"> PAGE  \* MERGEFORMAT </w:instrText>
                          </w:r>
                          <w:r>
                            <w:rPr>
                              <w:sz w:val="28"/>
                              <w:szCs w:val="44"/>
                            </w:rPr>
                            <w:fldChar w:fldCharType="separate"/>
                          </w:r>
                          <w:r>
                            <w:rPr>
                              <w:sz w:val="28"/>
                              <w:szCs w:val="44"/>
                            </w:rPr>
                            <w:t>4</w:t>
                          </w:r>
                          <w:r>
                            <w:rPr>
                              <w:sz w:val="28"/>
                              <w:szCs w:val="44"/>
                            </w:rPr>
                            <w:fldChar w:fldCharType="end"/>
                          </w:r>
                          <w:r>
                            <w:rPr>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9"/>
                      <w:rPr>
                        <w:sz w:val="28"/>
                        <w:szCs w:val="44"/>
                      </w:rPr>
                    </w:pPr>
                    <w:r>
                      <w:rPr>
                        <w:sz w:val="28"/>
                        <w:szCs w:val="44"/>
                      </w:rPr>
                      <w:t xml:space="preserve">— </w:t>
                    </w:r>
                    <w:r>
                      <w:rPr>
                        <w:sz w:val="28"/>
                        <w:szCs w:val="44"/>
                      </w:rPr>
                      <w:fldChar w:fldCharType="begin"/>
                    </w:r>
                    <w:r>
                      <w:rPr>
                        <w:sz w:val="28"/>
                        <w:szCs w:val="44"/>
                      </w:rPr>
                      <w:instrText xml:space="preserve"> PAGE  \* MERGEFORMAT </w:instrText>
                    </w:r>
                    <w:r>
                      <w:rPr>
                        <w:sz w:val="28"/>
                        <w:szCs w:val="44"/>
                      </w:rPr>
                      <w:fldChar w:fldCharType="separate"/>
                    </w:r>
                    <w:r>
                      <w:rPr>
                        <w:sz w:val="28"/>
                        <w:szCs w:val="44"/>
                      </w:rPr>
                      <w:t>4</w:t>
                    </w:r>
                    <w:r>
                      <w:rPr>
                        <w:sz w:val="28"/>
                        <w:szCs w:val="44"/>
                      </w:rPr>
                      <w:fldChar w:fldCharType="end"/>
                    </w:r>
                    <w:r>
                      <w:rPr>
                        <w:sz w:val="28"/>
                        <w:szCs w:val="4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9A572"/>
    <w:multiLevelType w:val="singleLevel"/>
    <w:tmpl w:val="D559A57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kZmIwMDRhYjA3ZDFiYmU0ZTUxNzQzZGJlOWViY2UifQ=="/>
  </w:docVars>
  <w:rsids>
    <w:rsidRoot w:val="001333BF"/>
    <w:rsid w:val="001333BF"/>
    <w:rsid w:val="001E07E1"/>
    <w:rsid w:val="00310E5E"/>
    <w:rsid w:val="006860E5"/>
    <w:rsid w:val="006935EF"/>
    <w:rsid w:val="006F00A1"/>
    <w:rsid w:val="008720CC"/>
    <w:rsid w:val="008B1F9F"/>
    <w:rsid w:val="008B6977"/>
    <w:rsid w:val="0092484F"/>
    <w:rsid w:val="00936CFD"/>
    <w:rsid w:val="009C3DB8"/>
    <w:rsid w:val="00BF2C7D"/>
    <w:rsid w:val="00E8668F"/>
    <w:rsid w:val="00F827FE"/>
    <w:rsid w:val="019329D2"/>
    <w:rsid w:val="01C546A6"/>
    <w:rsid w:val="020D56D1"/>
    <w:rsid w:val="025B7D4C"/>
    <w:rsid w:val="035B12CD"/>
    <w:rsid w:val="03AC0E8D"/>
    <w:rsid w:val="05241B93"/>
    <w:rsid w:val="05CF342C"/>
    <w:rsid w:val="05E67657"/>
    <w:rsid w:val="07061E25"/>
    <w:rsid w:val="07D92CA7"/>
    <w:rsid w:val="07DA333A"/>
    <w:rsid w:val="07F77D7D"/>
    <w:rsid w:val="08490CEA"/>
    <w:rsid w:val="08A70B11"/>
    <w:rsid w:val="09BE0FCB"/>
    <w:rsid w:val="0A4725C3"/>
    <w:rsid w:val="0AA163CA"/>
    <w:rsid w:val="0C1729FA"/>
    <w:rsid w:val="0D1D2FD6"/>
    <w:rsid w:val="0D506F40"/>
    <w:rsid w:val="0D536B63"/>
    <w:rsid w:val="106829C8"/>
    <w:rsid w:val="1187310D"/>
    <w:rsid w:val="11DB3201"/>
    <w:rsid w:val="131465A9"/>
    <w:rsid w:val="140440C4"/>
    <w:rsid w:val="16831A50"/>
    <w:rsid w:val="182751C6"/>
    <w:rsid w:val="18583BD5"/>
    <w:rsid w:val="18A46E1B"/>
    <w:rsid w:val="19C04A29"/>
    <w:rsid w:val="1A7501B5"/>
    <w:rsid w:val="1BAA4EF4"/>
    <w:rsid w:val="1C011483"/>
    <w:rsid w:val="1C71170A"/>
    <w:rsid w:val="1C871B6B"/>
    <w:rsid w:val="1CEF3C36"/>
    <w:rsid w:val="1D8D58F2"/>
    <w:rsid w:val="1E234C86"/>
    <w:rsid w:val="1F6B2344"/>
    <w:rsid w:val="1F7E6617"/>
    <w:rsid w:val="1FC72AD8"/>
    <w:rsid w:val="205A1343"/>
    <w:rsid w:val="209A10AD"/>
    <w:rsid w:val="20F3297E"/>
    <w:rsid w:val="20FE6C32"/>
    <w:rsid w:val="214A3EED"/>
    <w:rsid w:val="2250591D"/>
    <w:rsid w:val="23023659"/>
    <w:rsid w:val="24ED4650"/>
    <w:rsid w:val="25DA646A"/>
    <w:rsid w:val="27272375"/>
    <w:rsid w:val="27503B23"/>
    <w:rsid w:val="27E17689"/>
    <w:rsid w:val="283241F1"/>
    <w:rsid w:val="2AFB1FE1"/>
    <w:rsid w:val="2B742EEA"/>
    <w:rsid w:val="2C5305D7"/>
    <w:rsid w:val="2CF3776A"/>
    <w:rsid w:val="2CFA10A3"/>
    <w:rsid w:val="2D0B238C"/>
    <w:rsid w:val="2D64117D"/>
    <w:rsid w:val="2EDB3110"/>
    <w:rsid w:val="3149472F"/>
    <w:rsid w:val="31C848D8"/>
    <w:rsid w:val="32002EBC"/>
    <w:rsid w:val="334A2F74"/>
    <w:rsid w:val="33D07F62"/>
    <w:rsid w:val="34C53F49"/>
    <w:rsid w:val="351F7B4D"/>
    <w:rsid w:val="36D774F2"/>
    <w:rsid w:val="37734CD2"/>
    <w:rsid w:val="37D47684"/>
    <w:rsid w:val="37F80C39"/>
    <w:rsid w:val="3A302A82"/>
    <w:rsid w:val="3A363103"/>
    <w:rsid w:val="3B255741"/>
    <w:rsid w:val="3C284474"/>
    <w:rsid w:val="3CF163E7"/>
    <w:rsid w:val="3D734E8A"/>
    <w:rsid w:val="3DA32451"/>
    <w:rsid w:val="3FF41B75"/>
    <w:rsid w:val="40223A63"/>
    <w:rsid w:val="40E41DFF"/>
    <w:rsid w:val="418C651A"/>
    <w:rsid w:val="421C40FC"/>
    <w:rsid w:val="425A3ACB"/>
    <w:rsid w:val="44775260"/>
    <w:rsid w:val="44CE29A6"/>
    <w:rsid w:val="461E795D"/>
    <w:rsid w:val="464A6912"/>
    <w:rsid w:val="46E14C12"/>
    <w:rsid w:val="46FC7CAF"/>
    <w:rsid w:val="48210A73"/>
    <w:rsid w:val="4895434A"/>
    <w:rsid w:val="4BD5286C"/>
    <w:rsid w:val="4C2802D5"/>
    <w:rsid w:val="4C334453"/>
    <w:rsid w:val="4D1140CB"/>
    <w:rsid w:val="4D5C2C59"/>
    <w:rsid w:val="4EDD6C44"/>
    <w:rsid w:val="53277E51"/>
    <w:rsid w:val="54F80312"/>
    <w:rsid w:val="55306D65"/>
    <w:rsid w:val="5544133C"/>
    <w:rsid w:val="56446F6C"/>
    <w:rsid w:val="57B570EE"/>
    <w:rsid w:val="580A1D79"/>
    <w:rsid w:val="58CD149A"/>
    <w:rsid w:val="58F92290"/>
    <w:rsid w:val="5A665EC5"/>
    <w:rsid w:val="5B150ED7"/>
    <w:rsid w:val="5B863E13"/>
    <w:rsid w:val="5C280FA0"/>
    <w:rsid w:val="5C3C7A89"/>
    <w:rsid w:val="5CDD6A78"/>
    <w:rsid w:val="5CEF4FA6"/>
    <w:rsid w:val="5DB26320"/>
    <w:rsid w:val="5DBF512A"/>
    <w:rsid w:val="5E57634F"/>
    <w:rsid w:val="5EA82DBE"/>
    <w:rsid w:val="5F196E06"/>
    <w:rsid w:val="5F6070D4"/>
    <w:rsid w:val="607710FB"/>
    <w:rsid w:val="622B770E"/>
    <w:rsid w:val="62F530D5"/>
    <w:rsid w:val="63163A3E"/>
    <w:rsid w:val="63A76CBD"/>
    <w:rsid w:val="63C03819"/>
    <w:rsid w:val="641206A9"/>
    <w:rsid w:val="65484DEB"/>
    <w:rsid w:val="665660E9"/>
    <w:rsid w:val="672D121C"/>
    <w:rsid w:val="67697759"/>
    <w:rsid w:val="68550B65"/>
    <w:rsid w:val="686B24E9"/>
    <w:rsid w:val="69DF1536"/>
    <w:rsid w:val="6A506DCE"/>
    <w:rsid w:val="6BEC4054"/>
    <w:rsid w:val="6C7D68DC"/>
    <w:rsid w:val="6E482CB0"/>
    <w:rsid w:val="6EF17524"/>
    <w:rsid w:val="705F0856"/>
    <w:rsid w:val="712C19FB"/>
    <w:rsid w:val="71637699"/>
    <w:rsid w:val="71C70D25"/>
    <w:rsid w:val="7363328F"/>
    <w:rsid w:val="73F41AF0"/>
    <w:rsid w:val="75104791"/>
    <w:rsid w:val="75282570"/>
    <w:rsid w:val="76401D5F"/>
    <w:rsid w:val="79B002F1"/>
    <w:rsid w:val="7A1F5CD2"/>
    <w:rsid w:val="7AAE6A84"/>
    <w:rsid w:val="7ADC590D"/>
    <w:rsid w:val="7B3A3357"/>
    <w:rsid w:val="7BE81FC4"/>
    <w:rsid w:val="7CEC0606"/>
    <w:rsid w:val="7CF45A00"/>
    <w:rsid w:val="7DCE6F97"/>
    <w:rsid w:val="7DE3243D"/>
    <w:rsid w:val="7E2C3CBE"/>
    <w:rsid w:val="7E50785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3"/>
    <w:basedOn w:val="1"/>
    <w:next w:val="1"/>
    <w:qFormat/>
    <w:uiPriority w:val="0"/>
    <w:pPr>
      <w:keepNext/>
      <w:keepLines/>
      <w:widowControl w:val="0"/>
      <w:spacing w:before="120" w:after="120" w:line="360" w:lineRule="exact"/>
      <w:jc w:val="both"/>
      <w:outlineLvl w:val="2"/>
    </w:pPr>
    <w:rPr>
      <w:bCs/>
      <w:kern w:val="2"/>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1"/>
    <w:qFormat/>
    <w:uiPriority w:val="0"/>
    <w:pPr>
      <w:spacing w:line="560" w:lineRule="exact"/>
      <w:ind w:firstLine="880" w:firstLineChars="200"/>
    </w:pPr>
    <w:rPr>
      <w:rFonts w:ascii="Times New Roman" w:hAnsi="Times New Roman" w:eastAsia="仿宋_GB2312"/>
      <w:sz w:val="32"/>
      <w:szCs w:val="22"/>
    </w:rPr>
  </w:style>
  <w:style w:type="paragraph" w:styleId="5">
    <w:name w:val="annotation text"/>
    <w:basedOn w:val="1"/>
    <w:qFormat/>
    <w:uiPriority w:val="0"/>
    <w:pPr>
      <w:jc w:val="left"/>
    </w:pPr>
  </w:style>
  <w:style w:type="paragraph" w:styleId="6">
    <w:name w:val="Body Text Indent"/>
    <w:basedOn w:val="1"/>
    <w:qFormat/>
    <w:uiPriority w:val="0"/>
    <w:pPr>
      <w:spacing w:before="120" w:after="160"/>
      <w:ind w:firstLine="720"/>
      <w:jc w:val="both"/>
    </w:pPr>
    <w:rPr>
      <w:rFonts w:ascii="宋体"/>
      <w:spacing w:val="20"/>
      <w:lang w:eastAsia="zh-CN"/>
    </w:rPr>
  </w:style>
  <w:style w:type="paragraph" w:styleId="7">
    <w:name w:val="Body Text Indent 2"/>
    <w:basedOn w:val="1"/>
    <w:qFormat/>
    <w:uiPriority w:val="0"/>
    <w:pPr>
      <w:spacing w:before="120" w:after="160"/>
      <w:ind w:firstLine="480"/>
      <w:jc w:val="both"/>
    </w:pPr>
    <w:rPr>
      <w:rFonts w:ascii="宋体"/>
      <w:spacing w:val="20"/>
    </w:rPr>
  </w:style>
  <w:style w:type="paragraph" w:styleId="8">
    <w:name w:val="Balloon Text"/>
    <w:basedOn w:val="1"/>
    <w:link w:val="15"/>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qFormat/>
    <w:uiPriority w:val="0"/>
  </w:style>
  <w:style w:type="character" w:customStyle="1" w:styleId="15">
    <w:name w:val="批注框文本 字符"/>
    <w:link w:val="8"/>
    <w:qFormat/>
    <w:uiPriority w:val="0"/>
    <w:rPr>
      <w:kern w:val="2"/>
      <w:sz w:val="18"/>
      <w:szCs w:val="18"/>
    </w:rPr>
  </w:style>
  <w:style w:type="paragraph" w:customStyle="1" w:styleId="16">
    <w:name w:val="xl37"/>
    <w:basedOn w:val="1"/>
    <w:qFormat/>
    <w:uiPriority w:val="0"/>
    <w:pPr>
      <w:pBdr>
        <w:bottom w:val="single" w:color="auto" w:sz="4" w:space="0"/>
      </w:pBdr>
      <w:spacing w:before="100" w:beforeAutospacing="1" w:after="100" w:afterAutospacing="1" w:line="240" w:lineRule="auto"/>
      <w:jc w:val="right"/>
    </w:pPr>
    <w:rPr>
      <w:rFonts w:hint="eastAsia" w:ascii="楷体_GB2312" w:hAnsi="Arial Unicode MS" w:eastAsia="楷体_GB2312"/>
      <w:sz w:val="24"/>
      <w:szCs w:val="24"/>
    </w:rPr>
  </w:style>
  <w:style w:type="character" w:customStyle="1" w:styleId="17">
    <w:name w:val="font61"/>
    <w:basedOn w:val="13"/>
    <w:uiPriority w:val="0"/>
    <w:rPr>
      <w:rFonts w:ascii="仿宋_GB2312" w:eastAsia="仿宋_GB2312" w:cs="仿宋_GB2312"/>
      <w:b/>
      <w:bCs/>
      <w:color w:val="000000"/>
      <w:sz w:val="20"/>
      <w:szCs w:val="20"/>
      <w:u w:val="none"/>
    </w:rPr>
  </w:style>
  <w:style w:type="character" w:customStyle="1" w:styleId="18">
    <w:name w:val="font11"/>
    <w:basedOn w:val="13"/>
    <w:qFormat/>
    <w:uiPriority w:val="0"/>
    <w:rPr>
      <w:rFonts w:hint="eastAsia" w:ascii="宋体" w:hAnsi="宋体" w:eastAsia="宋体" w:cs="宋体"/>
      <w:b/>
      <w:bCs/>
      <w:color w:val="000000"/>
      <w:sz w:val="20"/>
      <w:szCs w:val="20"/>
      <w:u w:val="none"/>
    </w:rPr>
  </w:style>
  <w:style w:type="character" w:customStyle="1" w:styleId="19">
    <w:name w:val="font41"/>
    <w:basedOn w:val="13"/>
    <w:qFormat/>
    <w:uiPriority w:val="0"/>
    <w:rPr>
      <w:rFonts w:hint="eastAsia" w:ascii="仿宋_GB2312" w:eastAsia="仿宋_GB2312" w:cs="仿宋_GB2312"/>
      <w:color w:val="000000"/>
      <w:sz w:val="20"/>
      <w:szCs w:val="20"/>
      <w:u w:val="none"/>
    </w:rPr>
  </w:style>
  <w:style w:type="character" w:customStyle="1" w:styleId="20">
    <w:name w:val="font21"/>
    <w:basedOn w:val="13"/>
    <w:qFormat/>
    <w:uiPriority w:val="0"/>
    <w:rPr>
      <w:rFonts w:hint="eastAsia" w:ascii="宋体" w:hAnsi="宋体" w:eastAsia="宋体" w:cs="宋体"/>
      <w:color w:val="000000"/>
      <w:sz w:val="20"/>
      <w:szCs w:val="20"/>
      <w:u w:val="none"/>
    </w:rPr>
  </w:style>
  <w:style w:type="character" w:customStyle="1" w:styleId="21">
    <w:name w:val="font01"/>
    <w:basedOn w:val="1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8542</Words>
  <Characters>17877</Characters>
  <Lines>14</Lines>
  <Paragraphs>4</Paragraphs>
  <TotalTime>7</TotalTime>
  <ScaleCrop>false</ScaleCrop>
  <LinksUpToDate>false</LinksUpToDate>
  <CharactersWithSpaces>18468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2020-09-03T02:24:00Z</dcterms:created>
  <dc:creator>sdgk</dc:creator>
  <cp:lastModifiedBy>兔小白</cp:lastModifiedBy>
  <cp:lastPrinted>2023-06-27T04:12:00Z</cp:lastPrinted>
  <dcterms:modified xsi:type="dcterms:W3CDTF">2023-06-27T08:19:05Z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D720B57D06184CF687BA30208A7F7D77</vt:lpwstr>
  </property>
</Properties>
</file>