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F135A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宋体" w:hAnsi="宋体" w:eastAsia="方正小标宋简体" w:cs="方正小标宋简体"/>
          <w:color w:val="auto"/>
          <w:sz w:val="44"/>
          <w:szCs w:val="44"/>
        </w:rPr>
        <w:t>山东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省港口集团有限公司</w:t>
      </w:r>
    </w:p>
    <w:p w14:paraId="75902031">
      <w:pPr>
        <w:spacing w:line="560" w:lineRule="exact"/>
        <w:jc w:val="center"/>
        <w:rPr>
          <w:rFonts w:hint="eastAsia" w:ascii="宋体" w:hAnsi="宋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年</w:t>
      </w:r>
      <w:r>
        <w:rPr>
          <w:rFonts w:hint="eastAsia" w:ascii="宋体" w:hAnsi="宋体" w:eastAsia="方正小标宋简体" w:cs="方正小标宋简体"/>
          <w:color w:val="auto"/>
          <w:sz w:val="44"/>
          <w:szCs w:val="44"/>
          <w:lang w:val="en-US" w:eastAsia="zh-CN"/>
        </w:rPr>
        <w:t>度</w:t>
      </w:r>
      <w:r>
        <w:rPr>
          <w:rFonts w:hint="eastAsia" w:ascii="宋体" w:hAnsi="宋体" w:eastAsia="方正小标宋简体" w:cs="方正小标宋简体"/>
          <w:color w:val="auto"/>
          <w:sz w:val="44"/>
          <w:szCs w:val="44"/>
        </w:rPr>
        <w:t>财务等重大信息公告</w:t>
      </w:r>
    </w:p>
    <w:p w14:paraId="7D8F4B47">
      <w:pPr>
        <w:spacing w:line="560" w:lineRule="exact"/>
        <w:ind w:firstLine="640" w:firstLineChars="200"/>
        <w:rPr>
          <w:rFonts w:hint="eastAsia" w:ascii="宋体" w:hAnsi="宋体" w:eastAsia="仿宋_GB2312" w:cs="仿宋_GB2312"/>
          <w:color w:val="auto"/>
          <w:sz w:val="32"/>
          <w:szCs w:val="32"/>
        </w:rPr>
      </w:pPr>
      <w:r>
        <w:rPr>
          <w:rFonts w:ascii="宋体" w:hAnsi="宋体"/>
          <w:color w:val="auto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67945</wp:posOffset>
                </wp:positionH>
                <wp:positionV relativeFrom="paragraph">
                  <wp:posOffset>334010</wp:posOffset>
                </wp:positionV>
                <wp:extent cx="5457825" cy="1170305"/>
                <wp:effectExtent l="6350" t="6350" r="22225" b="23495"/>
                <wp:wrapNone/>
                <wp:docPr id="2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51280" y="2282190"/>
                          <a:ext cx="560959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B6FAA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40" w:lineRule="exact"/>
                              <w:ind w:firstLine="640" w:firstLineChars="200"/>
                              <w:textAlignment w:val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本公司董事会及全体董事保证本公告内容不存在任何虚假记载、误导性陈述或者重大遗漏，并对其内容的真实性、准确性和完整性承担个别及连带责任。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26" o:spt="1" style="position:absolute;left:0pt;margin-left:5.35pt;margin-top:26.3pt;height:92.15pt;width:429.75pt;z-index:251659264;v-text-anchor:middle;mso-width-relative:page;mso-height-relative:page;" fillcolor="#FFFFFF" filled="t" stroked="t" coordsize="21600,21600" o:gfxdata="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Dq8l/NYAAAAJAQAADwAAAAAAAAAB&#10;ACAAAAAiAAAAZHJzL2Rvd25yZXYueG1sUEsBAhQAFAAAAAgAh07iQIivQ2SEAgAAGgUAAA4AAAAA&#10;AAAAAQAgAAAAJQEAAGRycy9lMm9Eb2MueG1sUEsFBgAAAAAGAAYAWQEAABsGAAAAAA=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1FB6FAA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40" w:lineRule="exact"/>
                        <w:ind w:firstLine="640" w:firstLineChars="200"/>
                        <w:textAlignment w:val="auto"/>
                        <w:rPr>
                          <w:rFonts w:hint="eastAsia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本公司董事会及全体董事保证本公告内容不存在任何虚假记载、误导性陈述或者重大遗漏，并对其内容的真实性、准确性和完整性承担个别及连带责任。</w:t>
                      </w:r>
                    </w:p>
                  </w:txbxContent>
                </v:textbox>
              </v:rect>
            </w:pict>
          </mc:Fallback>
        </mc:AlternateContent>
      </w:r>
    </w:p>
    <w:p w14:paraId="46B63231">
      <w:pPr>
        <w:spacing w:line="560" w:lineRule="exact"/>
        <w:ind w:firstLine="640" w:firstLineChars="200"/>
        <w:rPr>
          <w:rFonts w:hint="eastAsia" w:ascii="宋体" w:hAnsi="宋体" w:eastAsia="仿宋_GB2312" w:cs="仿宋_GB2312"/>
          <w:color w:val="auto"/>
          <w:sz w:val="32"/>
          <w:szCs w:val="32"/>
        </w:rPr>
      </w:pPr>
    </w:p>
    <w:p w14:paraId="18CE5CC2">
      <w:pPr>
        <w:spacing w:line="560" w:lineRule="exact"/>
        <w:ind w:firstLine="640" w:firstLineChars="200"/>
        <w:rPr>
          <w:rFonts w:hint="eastAsia" w:ascii="宋体" w:hAnsi="宋体" w:eastAsia="仿宋_GB2312" w:cs="仿宋_GB2312"/>
          <w:color w:val="auto"/>
          <w:sz w:val="32"/>
          <w:szCs w:val="32"/>
        </w:rPr>
      </w:pPr>
    </w:p>
    <w:p w14:paraId="6443AE74">
      <w:pPr>
        <w:spacing w:line="560" w:lineRule="exact"/>
        <w:ind w:firstLine="640" w:firstLineChars="200"/>
        <w:rPr>
          <w:rFonts w:hint="eastAsia" w:ascii="宋体" w:hAnsi="宋体" w:eastAsia="仿宋_GB2312" w:cs="仿宋_GB2312"/>
          <w:color w:val="auto"/>
          <w:sz w:val="32"/>
          <w:szCs w:val="32"/>
        </w:rPr>
      </w:pPr>
    </w:p>
    <w:p w14:paraId="2C8B91B2">
      <w:pPr>
        <w:spacing w:line="560" w:lineRule="exact"/>
        <w:ind w:firstLine="640" w:firstLineChars="200"/>
        <w:rPr>
          <w:rFonts w:hint="eastAsia" w:ascii="宋体" w:hAnsi="宋体" w:eastAsia="仿宋_GB2312" w:cs="仿宋_GB2312"/>
          <w:color w:val="auto"/>
          <w:sz w:val="32"/>
          <w:szCs w:val="32"/>
        </w:rPr>
      </w:pPr>
    </w:p>
    <w:p w14:paraId="60774DD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楷体_GB2312" w:cs="仿宋_GB2312"/>
          <w:color w:val="auto"/>
          <w:sz w:val="32"/>
          <w:szCs w:val="32"/>
        </w:rPr>
      </w:pPr>
      <w:r>
        <w:rPr>
          <w:rFonts w:hint="eastAsia" w:ascii="宋体" w:hAnsi="宋体" w:eastAsia="楷体_GB2312" w:cs="仿宋_GB2312"/>
          <w:color w:val="auto"/>
          <w:sz w:val="32"/>
          <w:szCs w:val="32"/>
        </w:rPr>
        <w:t>本信息公告口径说明：项目前面注明集团的为集团一级企业，未注明的为集团</w:t>
      </w:r>
      <w:r>
        <w:rPr>
          <w:rFonts w:hint="eastAsia" w:ascii="宋体" w:hAnsi="宋体" w:eastAsia="楷体_GB2312" w:cs="仿宋_GB2312"/>
          <w:color w:val="auto"/>
          <w:sz w:val="32"/>
          <w:szCs w:val="32"/>
          <w:lang w:val="en-US" w:eastAsia="zh-CN"/>
        </w:rPr>
        <w:t>合并</w:t>
      </w:r>
      <w:r>
        <w:rPr>
          <w:rFonts w:hint="eastAsia" w:ascii="宋体" w:hAnsi="宋体" w:eastAsia="楷体_GB2312" w:cs="仿宋_GB2312"/>
          <w:color w:val="auto"/>
          <w:sz w:val="32"/>
          <w:szCs w:val="32"/>
        </w:rPr>
        <w:t>口径。</w:t>
      </w:r>
    </w:p>
    <w:p w14:paraId="0C561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黑体" w:cs="黑体"/>
          <w:color w:val="auto"/>
          <w:sz w:val="32"/>
          <w:szCs w:val="32"/>
        </w:rPr>
      </w:pPr>
      <w:r>
        <w:rPr>
          <w:rFonts w:hint="eastAsia" w:ascii="宋体" w:hAnsi="宋体" w:eastAsia="黑体" w:cs="黑体"/>
          <w:color w:val="auto"/>
          <w:sz w:val="32"/>
          <w:szCs w:val="32"/>
        </w:rPr>
        <w:t>一、公司基本情况</w:t>
      </w:r>
    </w:p>
    <w:p w14:paraId="3B10F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</w:rPr>
        <w:t>（一）中文名称：山东省港口集团有限公司</w:t>
      </w:r>
    </w:p>
    <w:p w14:paraId="5E1CD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</w:rPr>
        <w:t xml:space="preserve">      简    称：山东省港口集团 </w:t>
      </w:r>
    </w:p>
    <w:p w14:paraId="771F74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</w:rPr>
        <w:t>（二）外文名称：Shandong Port Group Co., Ltd.</w:t>
      </w:r>
    </w:p>
    <w:p w14:paraId="1FD8B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</w:rPr>
        <w:t>（三）法定代表人：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高立平</w:t>
      </w:r>
    </w:p>
    <w:p w14:paraId="48074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</w:rPr>
        <w:t>（四）注册地址：山东省青岛市市北区</w:t>
      </w:r>
    </w:p>
    <w:p w14:paraId="38B30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</w:rPr>
        <w:t>（五）经营范围：港口运营管理，港口产业投资，港口基础设施建设，港口和航运配套服务，海岸线及港区土地资源收储和开发利用，远洋和沿海航运，货物运输，仓储物流，大宗商品交易，股权和基金投资、管理、运营；船舶交易。</w:t>
      </w:r>
    </w:p>
    <w:p w14:paraId="5038C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</w:rPr>
        <w:t>（六）办公地址：山东省青岛市市北区港极路7号山东港口大厦，邮编：266000</w:t>
      </w:r>
    </w:p>
    <w:p w14:paraId="4C5A2E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</w:rPr>
        <w:t>（七）网址：</w:t>
      </w:r>
      <w:r>
        <w:rPr>
          <w:rFonts w:hint="eastAsia" w:ascii="宋体" w:hAnsi="宋体" w:eastAsia="仿宋_GB2312" w:cs="仿宋_GB2312"/>
          <w:color w:val="auto"/>
          <w:sz w:val="32"/>
          <w:szCs w:val="32"/>
          <w:u w:val="none"/>
        </w:rPr>
        <w:t>http://www.sd-port.com/</w:t>
      </w:r>
    </w:p>
    <w:p w14:paraId="7F2C7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</w:rPr>
        <w:t>（八）电子信箱：bgs@sd-port.com</w:t>
      </w:r>
    </w:p>
    <w:p w14:paraId="6A6B8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</w:rPr>
        <w:t>（九）公司简介：山东省港口集团有限公司（以下简称“集团公司”）是省属国有重要骨干企业，成立于2019年8月6日，总部位于山东青岛。拥有青岛港集团、日照港集团、烟台港集团、渤海湾港集团四大港口集团，青岛港（601298.SH，06198.HK）、日照港（600017.SH）、日照港裕廊（6117.HK）三家上市公司，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投</w:t>
      </w:r>
      <w:r>
        <w:rPr>
          <w:rFonts w:hint="eastAsia" w:ascii="宋体" w:hAnsi="宋体" w:eastAsia="仿宋_GB2312" w:cs="仿宋_GB2312"/>
          <w:color w:val="auto"/>
          <w:sz w:val="32"/>
          <w:szCs w:val="32"/>
        </w:rPr>
        <w:t>控、港湾建设、物流、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远洋海运</w:t>
      </w:r>
      <w:r>
        <w:rPr>
          <w:rFonts w:hint="eastAsia" w:ascii="宋体" w:hAnsi="宋体" w:eastAsia="仿宋_GB2312" w:cs="仿宋_GB2312"/>
          <w:color w:val="auto"/>
          <w:sz w:val="32"/>
          <w:szCs w:val="32"/>
        </w:rPr>
        <w:t>、邮轮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发展</w:t>
      </w:r>
      <w:r>
        <w:rPr>
          <w:rFonts w:hint="eastAsia" w:ascii="宋体" w:hAnsi="宋体" w:eastAsia="仿宋_GB2312" w:cs="仿宋_GB2312"/>
          <w:color w:val="auto"/>
          <w:sz w:val="32"/>
          <w:szCs w:val="32"/>
        </w:rPr>
        <w:t>、装备、贸易、科技、海外、职教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医养、陆海发展</w:t>
      </w:r>
      <w:r>
        <w:rPr>
          <w:rFonts w:hint="eastAsia" w:ascii="宋体" w:hAnsi="宋体" w:eastAsia="仿宋_GB2312" w:cs="仿宋_GB2312"/>
          <w:color w:val="auto"/>
          <w:sz w:val="32"/>
          <w:szCs w:val="32"/>
        </w:rPr>
        <w:t>等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十二</w:t>
      </w:r>
      <w:r>
        <w:rPr>
          <w:rFonts w:hint="eastAsia" w:ascii="宋体" w:hAnsi="宋体" w:eastAsia="仿宋_GB2312" w:cs="仿宋_GB2312"/>
          <w:color w:val="auto"/>
          <w:sz w:val="32"/>
          <w:szCs w:val="32"/>
        </w:rPr>
        <w:t>个板块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集团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目前，</w:t>
      </w:r>
      <w:r>
        <w:rPr>
          <w:rFonts w:hint="eastAsia" w:ascii="宋体" w:hAnsi="宋体" w:eastAsia="仿宋_GB2312" w:cs="仿宋_GB2312"/>
          <w:color w:val="auto"/>
          <w:sz w:val="32"/>
          <w:szCs w:val="32"/>
        </w:rPr>
        <w:t>形成了“以青岛港为龙头，日照港、烟台港为两翼，渤海湾港为延展，各板块集团为支撑，众多内陆港为依托，全球网络布局为协同”的一体化、国际化发展格局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共有19</w:t>
      </w:r>
      <w:r>
        <w:rPr>
          <w:rFonts w:hint="eastAsia" w:ascii="宋体" w:hAnsi="宋体" w:eastAsia="仿宋_GB2312" w:cs="仿宋_GB2312"/>
          <w:color w:val="auto"/>
          <w:sz w:val="32"/>
          <w:szCs w:val="32"/>
        </w:rPr>
        <w:t>个主要港区、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380余</w:t>
      </w:r>
      <w:r>
        <w:rPr>
          <w:rFonts w:hint="eastAsia" w:ascii="宋体" w:hAnsi="宋体" w:eastAsia="仿宋_GB2312" w:cs="仿宋_GB2312"/>
          <w:color w:val="auto"/>
          <w:sz w:val="32"/>
          <w:szCs w:val="32"/>
        </w:rPr>
        <w:t>个生产性泊位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宋体" w:hAnsi="宋体" w:eastAsia="仿宋_GB2312" w:cs="仿宋_GB2312"/>
          <w:color w:val="auto"/>
          <w:sz w:val="32"/>
          <w:szCs w:val="32"/>
        </w:rPr>
        <w:t>3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70余</w:t>
      </w:r>
      <w:r>
        <w:rPr>
          <w:rFonts w:hint="eastAsia" w:ascii="宋体" w:hAnsi="宋体" w:eastAsia="仿宋_GB2312" w:cs="仿宋_GB2312"/>
          <w:color w:val="auto"/>
          <w:sz w:val="32"/>
          <w:szCs w:val="32"/>
        </w:rPr>
        <w:t>条集装箱航线。</w:t>
      </w:r>
    </w:p>
    <w:p w14:paraId="1891C56C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 w:ascii="宋体" w:hAnsi="宋体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黑体" w:cs="Times New Roman"/>
          <w:b w:val="0"/>
          <w:bCs w:val="0"/>
          <w:color w:val="auto"/>
          <w:sz w:val="32"/>
          <w:szCs w:val="32"/>
          <w:highlight w:val="none"/>
        </w:rPr>
        <w:t>二、</w:t>
      </w:r>
      <w:r>
        <w:rPr>
          <w:rFonts w:hint="eastAsia" w:ascii="宋体" w:hAnsi="宋体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财务会计报告和审计报告摘要</w:t>
      </w:r>
    </w:p>
    <w:p w14:paraId="5CEF03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楷体_GB2312" w:cs="楷体_GB2312"/>
          <w:color w:val="auto"/>
          <w:sz w:val="32"/>
          <w:szCs w:val="32"/>
          <w:lang w:val="en-US" w:eastAsia="zh-CN"/>
        </w:rPr>
        <w:t>（一）财务会计报告</w:t>
      </w:r>
    </w:p>
    <w:p w14:paraId="399953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1.主要会计数据和财务指标</w:t>
      </w:r>
    </w:p>
    <w:p w14:paraId="78A3A88A">
      <w:pPr>
        <w:rPr>
          <w:rFonts w:ascii="宋体" w:hAnsi="宋体" w:eastAsia="仿宋"/>
          <w:color w:val="auto"/>
          <w:szCs w:val="21"/>
        </w:rPr>
      </w:pPr>
      <w:r>
        <w:rPr>
          <w:rFonts w:hint="eastAsia" w:ascii="宋体" w:hAnsi="宋体" w:eastAsia="仿宋"/>
          <w:color w:val="auto"/>
          <w:sz w:val="32"/>
          <w:szCs w:val="32"/>
        </w:rPr>
        <w:t xml:space="preserve"> </w:t>
      </w:r>
      <w:r>
        <w:rPr>
          <w:rFonts w:ascii="宋体" w:hAnsi="宋体" w:eastAsia="仿宋"/>
          <w:color w:val="auto"/>
          <w:sz w:val="32"/>
          <w:szCs w:val="32"/>
        </w:rPr>
        <w:t xml:space="preserve">                           </w:t>
      </w:r>
      <w:r>
        <w:rPr>
          <w:rFonts w:ascii="宋体" w:hAnsi="宋体" w:eastAsia="仿宋"/>
          <w:color w:val="auto"/>
          <w:szCs w:val="21"/>
        </w:rPr>
        <w:t xml:space="preserve">           </w:t>
      </w:r>
      <w:r>
        <w:rPr>
          <w:rFonts w:hint="eastAsia" w:ascii="宋体" w:hAnsi="宋体" w:eastAsia="仿宋"/>
          <w:color w:val="auto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仿宋_GB2312" w:cs="Times New Roman"/>
          <w:color w:val="auto"/>
          <w:sz w:val="22"/>
          <w:szCs w:val="22"/>
        </w:rPr>
        <w:t xml:space="preserve"> </w:t>
      </w:r>
      <w:r>
        <w:rPr>
          <w:rFonts w:hint="eastAsia" w:ascii="宋体" w:hAnsi="宋体" w:eastAsia="仿宋_GB2312" w:cs="Times New Roman"/>
          <w:color w:val="auto"/>
          <w:sz w:val="21"/>
          <w:szCs w:val="21"/>
        </w:rPr>
        <w:t xml:space="preserve"> 单位：万元 </w:t>
      </w:r>
      <w:r>
        <w:rPr>
          <w:rFonts w:hint="eastAsia" w:ascii="宋体" w:hAnsi="宋体" w:eastAsia="仿宋_GB2312" w:cs="Times New Roman"/>
          <w:color w:val="auto"/>
          <w:sz w:val="22"/>
          <w:szCs w:val="22"/>
        </w:rPr>
        <w:t xml:space="preserve">  </w:t>
      </w:r>
    </w:p>
    <w:tbl>
      <w:tblPr>
        <w:tblStyle w:val="14"/>
        <w:tblW w:w="8445" w:type="dxa"/>
        <w:tblInd w:w="34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0"/>
        <w:gridCol w:w="2085"/>
        <w:gridCol w:w="2160"/>
        <w:gridCol w:w="2100"/>
      </w:tblGrid>
      <w:tr w14:paraId="630DF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21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5DCB2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项目</w:t>
            </w:r>
          </w:p>
        </w:tc>
        <w:tc>
          <w:tcPr>
            <w:tcW w:w="20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06A0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本期金额</w:t>
            </w:r>
          </w:p>
        </w:tc>
        <w:tc>
          <w:tcPr>
            <w:tcW w:w="21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F49A9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上期金额</w:t>
            </w:r>
          </w:p>
        </w:tc>
        <w:tc>
          <w:tcPr>
            <w:tcW w:w="21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C4635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变动比例（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%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289F2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7F474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营业总收入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43AD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19,782,323.77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E032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18,603,186.48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top"/>
          </w:tcPr>
          <w:p w14:paraId="7B253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6.34%</w:t>
            </w:r>
          </w:p>
        </w:tc>
      </w:tr>
      <w:tr w14:paraId="6E9C9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464D9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营业总成本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69D25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19,210,590.99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604D0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17,844,333.20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top"/>
          </w:tcPr>
          <w:p w14:paraId="74755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7.66%</w:t>
            </w:r>
          </w:p>
        </w:tc>
      </w:tr>
      <w:tr w14:paraId="17D3F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389B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销售费用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339A6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10,909.76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5B011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9,349.56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top"/>
          </w:tcPr>
          <w:p w14:paraId="03DF23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16.69%</w:t>
            </w:r>
          </w:p>
        </w:tc>
      </w:tr>
      <w:tr w14:paraId="66DF9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44B70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管理费用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383E2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485,100.07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05C29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483,707.17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top"/>
          </w:tcPr>
          <w:p w14:paraId="6AF02F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0.29%</w:t>
            </w:r>
          </w:p>
        </w:tc>
      </w:tr>
      <w:tr w14:paraId="4E021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2492C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财务费用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2AF00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303,502.92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835C5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227,615.03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top"/>
          </w:tcPr>
          <w:p w14:paraId="63812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33.34%</w:t>
            </w:r>
          </w:p>
        </w:tc>
      </w:tr>
      <w:tr w14:paraId="552CE9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9399C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投资收益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DCB6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244,023.93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A1AA1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319,123.42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top"/>
          </w:tcPr>
          <w:p w14:paraId="5A6F1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-23.53%</w:t>
            </w:r>
          </w:p>
        </w:tc>
      </w:tr>
      <w:tr w14:paraId="5DE7C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DE061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营业利润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594AA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1,032,810.84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5F97F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1,180,394.64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top"/>
          </w:tcPr>
          <w:p w14:paraId="729C3E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-12.50%</w:t>
            </w:r>
          </w:p>
        </w:tc>
      </w:tr>
      <w:tr w14:paraId="75459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A528A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仿宋_GB2312" w:cs="Arial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营业外收入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DE38B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28,096.21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23F99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35,211.93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top"/>
          </w:tcPr>
          <w:p w14:paraId="1633D7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-20.21%</w:t>
            </w:r>
          </w:p>
        </w:tc>
      </w:tr>
      <w:tr w14:paraId="0A704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34C9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仿宋_GB2312" w:cs="Arial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营业外支出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30944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19,724.32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23E714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24,502.37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top"/>
          </w:tcPr>
          <w:p w14:paraId="53CA2F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-19.50%</w:t>
            </w:r>
          </w:p>
        </w:tc>
      </w:tr>
      <w:tr w14:paraId="0A3FE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7CC92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利润总额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1AAD3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1,041,182.72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351D8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1,191,104.21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top"/>
          </w:tcPr>
          <w:p w14:paraId="5AFF8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-12.59%</w:t>
            </w:r>
          </w:p>
        </w:tc>
      </w:tr>
      <w:tr w14:paraId="60FC0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10B44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Arial"/>
                <w:color w:val="auto"/>
                <w:kern w:val="0"/>
                <w:sz w:val="21"/>
                <w:szCs w:val="21"/>
                <w:highlight w:val="yellow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已交税费总额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30FAD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539,962.64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E582A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594,682.32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top"/>
          </w:tcPr>
          <w:p w14:paraId="639DC4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default" w:ascii="宋体" w:hAnsi="宋体" w:eastAsia="宋体" w:cs="Times New Roman"/>
                <w:color w:val="auto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-9.20%</w:t>
            </w:r>
          </w:p>
        </w:tc>
      </w:tr>
      <w:tr w14:paraId="51430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3B33F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净利润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2A0C57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788,804.99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2041A9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930,418.47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top"/>
          </w:tcPr>
          <w:p w14:paraId="427C20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-15.22%</w:t>
            </w:r>
          </w:p>
        </w:tc>
      </w:tr>
      <w:tr w14:paraId="68ABF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EFFEC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仿宋_GB2312" w:cs="Arial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营业利润率（</w:t>
            </w:r>
            <w:r>
              <w:rPr>
                <w:rStyle w:val="26"/>
                <w:color w:val="auto"/>
                <w:lang w:val="en-US" w:eastAsia="zh-CN" w:bidi="ar"/>
              </w:rPr>
              <w:t>%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top"/>
          </w:tcPr>
          <w:p w14:paraId="6BD71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5.22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80574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6.35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top"/>
          </w:tcPr>
          <w:p w14:paraId="0BED89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-</w:t>
            </w:r>
          </w:p>
        </w:tc>
      </w:tr>
      <w:tr w14:paraId="6C3EC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82790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仿宋_GB2312" w:cs="Arial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净资产收益率（</w:t>
            </w:r>
            <w:r>
              <w:rPr>
                <w:rStyle w:val="26"/>
                <w:color w:val="auto"/>
                <w:lang w:val="en-US" w:eastAsia="zh-CN" w:bidi="ar"/>
              </w:rPr>
              <w:t>%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top"/>
          </w:tcPr>
          <w:p w14:paraId="70C740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6.81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21DF11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8.26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top"/>
          </w:tcPr>
          <w:p w14:paraId="590A91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-</w:t>
            </w:r>
          </w:p>
        </w:tc>
      </w:tr>
      <w:tr w14:paraId="45F32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5B23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color w:val="auto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项目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E4A02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color w:val="auto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期末余额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19D2F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color w:val="auto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年初余额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AAE94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color w:val="auto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变动比例（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%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</w:tr>
      <w:tr w14:paraId="46267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3F08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资产总额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234B4F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30,181,938.74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FE6BA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28,189,079.47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top"/>
          </w:tcPr>
          <w:p w14:paraId="690A8A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7.07%</w:t>
            </w:r>
          </w:p>
        </w:tc>
      </w:tr>
      <w:tr w14:paraId="3FEA0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C601A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负债总额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0BF23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18,302,496.03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48577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16,895,503.23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top"/>
          </w:tcPr>
          <w:p w14:paraId="55AE43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8.33%</w:t>
            </w:r>
          </w:p>
        </w:tc>
      </w:tr>
      <w:tr w14:paraId="453D4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1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89928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Arial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所有者权益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705CB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11,879,442.71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7B38A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11,293,576.24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top"/>
          </w:tcPr>
          <w:p w14:paraId="75DD5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eastAsia" w:ascii="宋体" w:hAnsi="宋体" w:eastAsia="宋体" w:cs="Times New Roman"/>
                <w:color w:val="auto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5.19%</w:t>
            </w:r>
          </w:p>
        </w:tc>
      </w:tr>
    </w:tbl>
    <w:p w14:paraId="468FE770">
      <w:pPr>
        <w:spacing w:line="560" w:lineRule="exact"/>
        <w:ind w:firstLine="210" w:firstLineChars="100"/>
        <w:rPr>
          <w:rFonts w:hint="default" w:ascii="宋体" w:hAnsi="宋体" w:eastAsia="仿宋_GB2312" w:cs="仿宋_GB2312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21"/>
          <w:szCs w:val="21"/>
          <w:lang w:val="en-US" w:eastAsia="zh-CN"/>
        </w:rPr>
        <w:t>注：以上数据按照年度审计后的决算数据填报。</w:t>
      </w:r>
    </w:p>
    <w:p w14:paraId="210975AE">
      <w:pPr>
        <w:spacing w:line="560" w:lineRule="exact"/>
        <w:ind w:firstLine="640" w:firstLineChars="200"/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2.财务报表的编制基础</w:t>
      </w:r>
    </w:p>
    <w:p w14:paraId="5F898FF4">
      <w:pPr>
        <w:spacing w:line="560" w:lineRule="exact"/>
        <w:ind w:firstLine="640" w:firstLineChars="200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集团公司财务报表以持续经营为基础，根据实际发生的交易和事项，按照财政部颁布的《企业会计准则》及相关规定编制。</w:t>
      </w:r>
    </w:p>
    <w:p w14:paraId="6C912D4E"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3.主要会计政策和会计估计变更及影响</w:t>
      </w:r>
    </w:p>
    <w:p w14:paraId="3D35A753">
      <w:pPr>
        <w:spacing w:line="560" w:lineRule="exact"/>
        <w:ind w:firstLine="640" w:firstLineChars="200"/>
        <w:rPr>
          <w:rFonts w:hint="eastAsia" w:ascii="宋体" w:hAnsi="宋体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Times New Roman"/>
          <w:color w:val="auto"/>
          <w:sz w:val="32"/>
          <w:szCs w:val="32"/>
          <w:lang w:val="en-US" w:eastAsia="zh-CN"/>
        </w:rPr>
        <w:t>（1）会计政策变更及影响</w:t>
      </w:r>
    </w:p>
    <w:p w14:paraId="7FB55A1B">
      <w:pPr>
        <w:spacing w:line="560" w:lineRule="exact"/>
        <w:ind w:firstLine="640" w:firstLineChars="200"/>
        <w:rPr>
          <w:rFonts w:hint="eastAsia" w:ascii="宋体" w:hAnsi="宋体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Times New Roman"/>
          <w:color w:val="auto"/>
          <w:sz w:val="32"/>
          <w:szCs w:val="32"/>
          <w:lang w:val="en-US" w:eastAsia="zh-CN"/>
        </w:rPr>
        <w:t>集团公司本年度无会计政策变更。</w:t>
      </w:r>
    </w:p>
    <w:p w14:paraId="026B5241">
      <w:pPr>
        <w:spacing w:line="560" w:lineRule="exact"/>
        <w:ind w:firstLine="640" w:firstLineChars="200"/>
        <w:rPr>
          <w:rFonts w:hint="eastAsia"/>
          <w:color w:val="auto"/>
          <w:lang w:val="en-US" w:eastAsia="zh-CN"/>
        </w:rPr>
      </w:pPr>
      <w:r>
        <w:rPr>
          <w:rFonts w:hint="eastAsia" w:ascii="宋体" w:hAnsi="宋体" w:eastAsia="仿宋_GB2312" w:cs="Times New Roman"/>
          <w:color w:val="auto"/>
          <w:sz w:val="32"/>
          <w:szCs w:val="32"/>
          <w:lang w:val="en-US" w:eastAsia="zh-CN"/>
        </w:rPr>
        <w:t>（2）会计估计变更及影响</w:t>
      </w:r>
    </w:p>
    <w:p w14:paraId="78670614">
      <w:pPr>
        <w:spacing w:line="560" w:lineRule="exact"/>
        <w:ind w:firstLine="640" w:firstLineChars="200"/>
        <w:rPr>
          <w:rFonts w:hint="eastAsia" w:ascii="宋体" w:hAnsi="宋体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Times New Roman"/>
          <w:color w:val="auto"/>
          <w:sz w:val="32"/>
          <w:szCs w:val="32"/>
          <w:lang w:val="en-US" w:eastAsia="zh-CN"/>
        </w:rPr>
        <w:t>集团公司本年度无会计估计变更。</w:t>
      </w:r>
    </w:p>
    <w:p w14:paraId="144DE800">
      <w:pPr>
        <w:spacing w:line="560" w:lineRule="exact"/>
        <w:ind w:firstLine="640" w:firstLineChars="200"/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.合并财务报表主要项目注释（数据金额单位均为人民币元）</w:t>
      </w:r>
    </w:p>
    <w:p w14:paraId="6D7675BC">
      <w:pPr>
        <w:numPr>
          <w:ilvl w:val="0"/>
          <w:numId w:val="0"/>
        </w:numPr>
        <w:adjustRightInd w:val="0"/>
        <w:spacing w:before="120" w:beforeLines="50" w:after="120" w:afterLines="50" w:line="360" w:lineRule="exact"/>
        <w:ind w:firstLine="640" w:firstLineChars="200"/>
        <w:jc w:val="both"/>
        <w:outlineLvl w:val="1"/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35D8C6DC">
      <w:pPr>
        <w:numPr>
          <w:ilvl w:val="0"/>
          <w:numId w:val="0"/>
        </w:numPr>
        <w:adjustRightInd w:val="0"/>
        <w:spacing w:before="120" w:beforeLines="50" w:after="120" w:afterLines="50" w:line="360" w:lineRule="exact"/>
        <w:ind w:firstLine="640" w:firstLineChars="200"/>
        <w:jc w:val="both"/>
        <w:outlineLvl w:val="1"/>
        <w:rPr>
          <w:rFonts w:hint="default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（1）应收账款 </w:t>
      </w:r>
    </w:p>
    <w:tbl>
      <w:tblPr>
        <w:tblStyle w:val="14"/>
        <w:tblW w:w="5268" w:type="pct"/>
        <w:jc w:val="center"/>
        <w:tblBorders>
          <w:top w:val="double" w:color="auto" w:sz="4" w:space="0"/>
          <w:left w:val="none" w:color="auto" w:sz="0" w:space="0"/>
          <w:bottom w:val="double" w:color="auto" w:sz="4" w:space="0"/>
          <w:right w:val="none" w:color="auto" w:sz="0" w:space="0"/>
          <w:insideH w:val="single" w:color="auto" w:sz="2" w:space="0"/>
          <w:insideV w:val="single" w:color="auto" w:sz="2" w:space="0"/>
        </w:tblBorders>
        <w:tblLayout w:type="autofit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717"/>
        <w:gridCol w:w="2142"/>
        <w:gridCol w:w="744"/>
        <w:gridCol w:w="2023"/>
        <w:gridCol w:w="896"/>
        <w:gridCol w:w="2025"/>
      </w:tblGrid>
      <w:tr w14:paraId="6EDD0722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86" w:hRule="atLeast"/>
          <w:tblHeader/>
          <w:jc w:val="center"/>
        </w:trPr>
        <w:tc>
          <w:tcPr>
            <w:tcW w:w="1717" w:type="dxa"/>
            <w:vMerge w:val="restart"/>
            <w:noWrap w:val="0"/>
            <w:vAlign w:val="center"/>
          </w:tcPr>
          <w:p w14:paraId="3555D7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类别</w:t>
            </w:r>
          </w:p>
        </w:tc>
        <w:tc>
          <w:tcPr>
            <w:tcW w:w="7830" w:type="dxa"/>
            <w:gridSpan w:val="5"/>
            <w:noWrap w:val="0"/>
            <w:vAlign w:val="center"/>
          </w:tcPr>
          <w:p w14:paraId="32ADC1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年末余额</w:t>
            </w:r>
          </w:p>
        </w:tc>
      </w:tr>
      <w:tr w14:paraId="7A27EEA1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86" w:hRule="atLeast"/>
          <w:tblHeader/>
          <w:jc w:val="center"/>
        </w:trPr>
        <w:tc>
          <w:tcPr>
            <w:tcW w:w="1717" w:type="dxa"/>
            <w:vMerge w:val="continue"/>
            <w:noWrap w:val="0"/>
            <w:vAlign w:val="center"/>
          </w:tcPr>
          <w:p w14:paraId="51169B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</w:p>
        </w:tc>
        <w:tc>
          <w:tcPr>
            <w:tcW w:w="2886" w:type="dxa"/>
            <w:gridSpan w:val="2"/>
            <w:noWrap w:val="0"/>
            <w:vAlign w:val="center"/>
          </w:tcPr>
          <w:p w14:paraId="65A291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账面余额</w:t>
            </w:r>
          </w:p>
        </w:tc>
        <w:tc>
          <w:tcPr>
            <w:tcW w:w="2919" w:type="dxa"/>
            <w:gridSpan w:val="2"/>
            <w:noWrap w:val="0"/>
            <w:vAlign w:val="center"/>
          </w:tcPr>
          <w:p w14:paraId="5BC535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坏账准备</w:t>
            </w:r>
          </w:p>
        </w:tc>
        <w:tc>
          <w:tcPr>
            <w:tcW w:w="2025" w:type="dxa"/>
            <w:vMerge w:val="restart"/>
            <w:noWrap w:val="0"/>
            <w:vAlign w:val="center"/>
          </w:tcPr>
          <w:p w14:paraId="362E8A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账面价值</w:t>
            </w:r>
          </w:p>
        </w:tc>
      </w:tr>
      <w:tr w14:paraId="5A3AEAD6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86" w:hRule="atLeast"/>
          <w:tblHeader/>
          <w:jc w:val="center"/>
        </w:trPr>
        <w:tc>
          <w:tcPr>
            <w:tcW w:w="1717" w:type="dxa"/>
            <w:vMerge w:val="continue"/>
            <w:noWrap w:val="0"/>
            <w:vAlign w:val="center"/>
          </w:tcPr>
          <w:p w14:paraId="02BAFE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</w:p>
        </w:tc>
        <w:tc>
          <w:tcPr>
            <w:tcW w:w="2142" w:type="dxa"/>
            <w:noWrap w:val="0"/>
            <w:vAlign w:val="center"/>
          </w:tcPr>
          <w:p w14:paraId="5FC1A3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金额</w:t>
            </w:r>
          </w:p>
        </w:tc>
        <w:tc>
          <w:tcPr>
            <w:tcW w:w="744" w:type="dxa"/>
            <w:noWrap w:val="0"/>
            <w:vAlign w:val="center"/>
          </w:tcPr>
          <w:p w14:paraId="3648B5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比例（</w:t>
            </w:r>
            <w:r>
              <w:rPr>
                <w:rStyle w:val="27"/>
                <w:color w:val="auto"/>
                <w:lang w:val="en-US" w:eastAsia="zh-CN" w:bidi="ar"/>
              </w:rPr>
              <w:t>%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2023" w:type="dxa"/>
            <w:noWrap w:val="0"/>
            <w:vAlign w:val="center"/>
          </w:tcPr>
          <w:p w14:paraId="7D52D3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金额</w:t>
            </w:r>
          </w:p>
        </w:tc>
        <w:tc>
          <w:tcPr>
            <w:tcW w:w="896" w:type="dxa"/>
            <w:noWrap w:val="0"/>
            <w:vAlign w:val="center"/>
          </w:tcPr>
          <w:p w14:paraId="60330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预期信用损失率（</w:t>
            </w:r>
            <w:r>
              <w:rPr>
                <w:rStyle w:val="27"/>
                <w:color w:val="auto"/>
                <w:lang w:val="en-US" w:eastAsia="zh-CN" w:bidi="ar"/>
              </w:rPr>
              <w:t>%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2025" w:type="dxa"/>
            <w:vMerge w:val="continue"/>
            <w:noWrap w:val="0"/>
            <w:vAlign w:val="center"/>
          </w:tcPr>
          <w:p w14:paraId="562B03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</w:p>
        </w:tc>
      </w:tr>
      <w:tr w14:paraId="35A2D859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717" w:type="dxa"/>
            <w:noWrap w:val="0"/>
            <w:vAlign w:val="center"/>
          </w:tcPr>
          <w:p w14:paraId="776D31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宋体" w:hAnsi="宋体" w:eastAsia="仿宋_GB2312" w:cs="Times New Roman"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单项计提坏账准备的应收账款</w:t>
            </w:r>
          </w:p>
        </w:tc>
        <w:tc>
          <w:tcPr>
            <w:tcW w:w="2142" w:type="dxa"/>
            <w:noWrap w:val="0"/>
            <w:vAlign w:val="center"/>
          </w:tcPr>
          <w:p w14:paraId="7644E4B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cs="宋体"/>
                <w:color w:val="auto"/>
                <w:spacing w:val="-10"/>
                <w:sz w:val="22"/>
                <w:szCs w:val="22"/>
                <w:lang w:bidi="ar"/>
              </w:rPr>
              <w:t xml:space="preserve">1,947,288,392.70 </w:t>
            </w:r>
          </w:p>
        </w:tc>
        <w:tc>
          <w:tcPr>
            <w:tcW w:w="744" w:type="dxa"/>
            <w:noWrap w:val="0"/>
            <w:vAlign w:val="center"/>
          </w:tcPr>
          <w:p w14:paraId="6643773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Times New Roman"/>
                <w:color w:val="auto"/>
                <w:szCs w:val="22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spacing w:val="-10"/>
                <w:sz w:val="22"/>
                <w:szCs w:val="22"/>
                <w:lang w:bidi="ar"/>
              </w:rPr>
              <w:t xml:space="preserve">15.72 </w:t>
            </w:r>
          </w:p>
        </w:tc>
        <w:tc>
          <w:tcPr>
            <w:tcW w:w="2023" w:type="dxa"/>
            <w:noWrap w:val="0"/>
            <w:vAlign w:val="center"/>
          </w:tcPr>
          <w:p w14:paraId="6DA6951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cs="宋体"/>
                <w:color w:val="auto"/>
                <w:spacing w:val="-10"/>
                <w:sz w:val="22"/>
                <w:szCs w:val="22"/>
                <w:lang w:bidi="ar"/>
              </w:rPr>
              <w:t xml:space="preserve">1,755,812,593.47 </w:t>
            </w:r>
          </w:p>
        </w:tc>
        <w:tc>
          <w:tcPr>
            <w:tcW w:w="896" w:type="dxa"/>
            <w:noWrap w:val="0"/>
            <w:vAlign w:val="center"/>
          </w:tcPr>
          <w:p w14:paraId="499FE50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Times New Roman"/>
                <w:color w:val="auto"/>
                <w:szCs w:val="22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spacing w:val="-10"/>
                <w:sz w:val="22"/>
                <w:szCs w:val="22"/>
                <w:lang w:bidi="ar"/>
              </w:rPr>
              <w:t xml:space="preserve">90.17 </w:t>
            </w:r>
          </w:p>
        </w:tc>
        <w:tc>
          <w:tcPr>
            <w:tcW w:w="2025" w:type="dxa"/>
            <w:noWrap w:val="0"/>
            <w:vAlign w:val="center"/>
          </w:tcPr>
          <w:p w14:paraId="23016D6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cs="宋体"/>
                <w:color w:val="auto"/>
                <w:spacing w:val="-10"/>
                <w:sz w:val="22"/>
                <w:szCs w:val="22"/>
                <w:lang w:bidi="ar"/>
              </w:rPr>
              <w:t xml:space="preserve">191,475,799.23 </w:t>
            </w:r>
          </w:p>
        </w:tc>
      </w:tr>
      <w:tr w14:paraId="4A8E29C5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717" w:type="dxa"/>
            <w:noWrap w:val="0"/>
            <w:vAlign w:val="center"/>
          </w:tcPr>
          <w:p w14:paraId="23887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宋体" w:hAnsi="宋体" w:eastAsia="仿宋_GB2312" w:cs="Times New Roman"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按信用风险特征组合计提坏账准备的应收账款</w:t>
            </w:r>
          </w:p>
        </w:tc>
        <w:tc>
          <w:tcPr>
            <w:tcW w:w="2142" w:type="dxa"/>
            <w:noWrap w:val="0"/>
            <w:vAlign w:val="center"/>
          </w:tcPr>
          <w:p w14:paraId="61CA0E8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cs="宋体"/>
                <w:color w:val="auto"/>
                <w:spacing w:val="-10"/>
                <w:sz w:val="22"/>
                <w:szCs w:val="22"/>
                <w:lang w:bidi="ar"/>
              </w:rPr>
              <w:t xml:space="preserve">10,439,015,262.49 </w:t>
            </w:r>
          </w:p>
        </w:tc>
        <w:tc>
          <w:tcPr>
            <w:tcW w:w="744" w:type="dxa"/>
            <w:noWrap w:val="0"/>
            <w:vAlign w:val="center"/>
          </w:tcPr>
          <w:p w14:paraId="7006D18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Times New Roman"/>
                <w:color w:val="auto"/>
                <w:szCs w:val="22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spacing w:val="-10"/>
                <w:sz w:val="22"/>
                <w:szCs w:val="22"/>
                <w:lang w:bidi="ar"/>
              </w:rPr>
              <w:t xml:space="preserve">84.28 </w:t>
            </w:r>
          </w:p>
        </w:tc>
        <w:tc>
          <w:tcPr>
            <w:tcW w:w="2023" w:type="dxa"/>
            <w:noWrap w:val="0"/>
            <w:vAlign w:val="center"/>
          </w:tcPr>
          <w:p w14:paraId="7434734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cs="宋体"/>
                <w:color w:val="auto"/>
                <w:spacing w:val="-10"/>
                <w:sz w:val="22"/>
                <w:szCs w:val="22"/>
                <w:lang w:bidi="ar"/>
              </w:rPr>
              <w:t xml:space="preserve">1,127,157,899.66 </w:t>
            </w:r>
          </w:p>
        </w:tc>
        <w:tc>
          <w:tcPr>
            <w:tcW w:w="896" w:type="dxa"/>
            <w:noWrap w:val="0"/>
            <w:vAlign w:val="center"/>
          </w:tcPr>
          <w:p w14:paraId="2C68E7F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cs="宋体"/>
                <w:color w:val="auto"/>
                <w:spacing w:val="-10"/>
                <w:sz w:val="22"/>
                <w:szCs w:val="22"/>
                <w:lang w:bidi="ar"/>
              </w:rPr>
              <w:t xml:space="preserve">10.80 </w:t>
            </w:r>
          </w:p>
        </w:tc>
        <w:tc>
          <w:tcPr>
            <w:tcW w:w="2025" w:type="dxa"/>
            <w:noWrap w:val="0"/>
            <w:vAlign w:val="center"/>
          </w:tcPr>
          <w:p w14:paraId="6EB61B3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eastAsia" w:ascii="宋体" w:hAnsi="宋体" w:eastAsia="宋体" w:cs="Times New Roman"/>
                <w:color w:val="auto"/>
                <w:szCs w:val="22"/>
              </w:rPr>
            </w:pPr>
            <w:r>
              <w:rPr>
                <w:rFonts w:hint="eastAsia" w:ascii="宋体" w:hAnsi="宋体" w:cs="宋体"/>
                <w:color w:val="auto"/>
                <w:spacing w:val="-10"/>
                <w:sz w:val="22"/>
                <w:szCs w:val="22"/>
                <w:lang w:bidi="ar"/>
              </w:rPr>
              <w:t xml:space="preserve">9,311,857,362.83 </w:t>
            </w:r>
          </w:p>
        </w:tc>
      </w:tr>
      <w:tr w14:paraId="14E5DA94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717" w:type="dxa"/>
            <w:noWrap w:val="0"/>
            <w:vAlign w:val="center"/>
          </w:tcPr>
          <w:p w14:paraId="6C8AB0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Times New Roman"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2142" w:type="dxa"/>
            <w:noWrap w:val="0"/>
            <w:vAlign w:val="center"/>
          </w:tcPr>
          <w:p w14:paraId="56490C6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eastAsia" w:ascii="宋体" w:hAnsi="宋体" w:eastAsia="宋体" w:cs="Times New Roman"/>
                <w:b/>
                <w:bCs/>
                <w:color w:val="auto"/>
                <w:szCs w:val="22"/>
              </w:rPr>
            </w:pPr>
            <w:r>
              <w:rPr>
                <w:rFonts w:hint="eastAsia" w:ascii="宋体" w:hAnsi="宋体" w:cs="宋体"/>
                <w:b/>
                <w:color w:val="auto"/>
                <w:spacing w:val="-10"/>
                <w:sz w:val="22"/>
                <w:szCs w:val="22"/>
                <w:lang w:bidi="ar"/>
              </w:rPr>
              <w:t xml:space="preserve">12,386,303,655.19 </w:t>
            </w:r>
          </w:p>
        </w:tc>
        <w:tc>
          <w:tcPr>
            <w:tcW w:w="744" w:type="dxa"/>
            <w:noWrap w:val="0"/>
            <w:vAlign w:val="center"/>
          </w:tcPr>
          <w:p w14:paraId="104BC0F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center"/>
              <w:textAlignment w:val="bottom"/>
              <w:rPr>
                <w:rFonts w:hint="eastAsia" w:ascii="宋体" w:hAnsi="宋体" w:eastAsia="宋体" w:cs="Times New Roman"/>
                <w:b/>
                <w:bCs/>
                <w:color w:val="auto"/>
                <w:szCs w:val="22"/>
              </w:rPr>
            </w:pPr>
            <w:r>
              <w:rPr>
                <w:rFonts w:hint="eastAsia" w:ascii="宋体" w:hAnsi="宋体" w:cs="宋体"/>
                <w:b/>
                <w:color w:val="auto"/>
                <w:spacing w:val="-10"/>
                <w:sz w:val="22"/>
                <w:szCs w:val="22"/>
                <w:lang w:bidi="ar"/>
              </w:rPr>
              <w:t>——</w:t>
            </w:r>
          </w:p>
        </w:tc>
        <w:tc>
          <w:tcPr>
            <w:tcW w:w="2023" w:type="dxa"/>
            <w:noWrap w:val="0"/>
            <w:vAlign w:val="center"/>
          </w:tcPr>
          <w:p w14:paraId="6C952D8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eastAsia" w:ascii="宋体" w:hAnsi="宋体" w:eastAsia="宋体" w:cs="Times New Roman"/>
                <w:b/>
                <w:bCs/>
                <w:color w:val="auto"/>
                <w:szCs w:val="22"/>
              </w:rPr>
            </w:pPr>
            <w:r>
              <w:rPr>
                <w:rFonts w:hint="eastAsia" w:ascii="宋体" w:hAnsi="宋体" w:cs="宋体"/>
                <w:b/>
                <w:color w:val="auto"/>
                <w:spacing w:val="-10"/>
                <w:sz w:val="22"/>
                <w:szCs w:val="22"/>
                <w:lang w:bidi="ar"/>
              </w:rPr>
              <w:t xml:space="preserve">2,882,970,493.13 </w:t>
            </w:r>
          </w:p>
        </w:tc>
        <w:tc>
          <w:tcPr>
            <w:tcW w:w="896" w:type="dxa"/>
            <w:noWrap w:val="0"/>
            <w:vAlign w:val="center"/>
          </w:tcPr>
          <w:p w14:paraId="53E0FC7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eastAsia" w:ascii="宋体" w:hAnsi="宋体" w:eastAsia="宋体" w:cs="Times New Roman"/>
                <w:b/>
                <w:bCs/>
                <w:color w:val="auto"/>
                <w:szCs w:val="22"/>
              </w:rPr>
            </w:pPr>
            <w:r>
              <w:rPr>
                <w:rFonts w:hint="eastAsia" w:ascii="宋体" w:hAnsi="宋体" w:cs="宋体"/>
                <w:b/>
                <w:color w:val="auto"/>
                <w:spacing w:val="-10"/>
                <w:sz w:val="22"/>
                <w:szCs w:val="22"/>
                <w:lang w:bidi="ar"/>
              </w:rPr>
              <w:t xml:space="preserve">23.28 </w:t>
            </w:r>
          </w:p>
        </w:tc>
        <w:tc>
          <w:tcPr>
            <w:tcW w:w="2025" w:type="dxa"/>
            <w:noWrap w:val="0"/>
            <w:vAlign w:val="center"/>
          </w:tcPr>
          <w:p w14:paraId="1136015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eastAsia" w:ascii="宋体" w:hAnsi="宋体" w:eastAsia="宋体" w:cs="Times New Roman"/>
                <w:b/>
                <w:bCs/>
                <w:color w:val="auto"/>
                <w:szCs w:val="22"/>
              </w:rPr>
            </w:pPr>
            <w:r>
              <w:rPr>
                <w:rFonts w:hint="eastAsia" w:ascii="宋体" w:hAnsi="宋体" w:cs="宋体"/>
                <w:b/>
                <w:color w:val="auto"/>
                <w:spacing w:val="-10"/>
                <w:sz w:val="22"/>
                <w:szCs w:val="22"/>
                <w:lang w:bidi="ar"/>
              </w:rPr>
              <w:t xml:space="preserve">9,503,333,162.06 </w:t>
            </w:r>
          </w:p>
        </w:tc>
      </w:tr>
    </w:tbl>
    <w:tbl>
      <w:tblPr>
        <w:tblStyle w:val="14"/>
        <w:tblpPr w:leftFromText="180" w:rightFromText="180" w:vertAnchor="text" w:horzAnchor="page" w:tblpXSpec="center" w:tblpY="354"/>
        <w:tblOverlap w:val="never"/>
        <w:tblW w:w="5304" w:type="pct"/>
        <w:jc w:val="center"/>
        <w:tblBorders>
          <w:top w:val="double" w:color="auto" w:sz="4" w:space="0"/>
          <w:left w:val="none" w:color="auto" w:sz="0" w:space="0"/>
          <w:bottom w:val="doub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5"/>
        <w:gridCol w:w="2039"/>
        <w:gridCol w:w="898"/>
        <w:gridCol w:w="1937"/>
        <w:gridCol w:w="958"/>
        <w:gridCol w:w="1935"/>
      </w:tblGrid>
      <w:tr w14:paraId="76D24B87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  <w:jc w:val="center"/>
        </w:trPr>
        <w:tc>
          <w:tcPr>
            <w:tcW w:w="959" w:type="pct"/>
            <w:vMerge w:val="restart"/>
            <w:noWrap w:val="0"/>
            <w:vAlign w:val="center"/>
          </w:tcPr>
          <w:p w14:paraId="4FF1851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b/>
                <w:color w:val="auto"/>
                <w:spacing w:val="-14"/>
                <w:w w:val="90"/>
                <w:sz w:val="20"/>
              </w:rPr>
            </w:pPr>
            <w:r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  <w:t>类别</w:t>
            </w:r>
          </w:p>
        </w:tc>
        <w:tc>
          <w:tcPr>
            <w:tcW w:w="4040" w:type="pct"/>
            <w:gridSpan w:val="5"/>
            <w:noWrap w:val="0"/>
            <w:vAlign w:val="center"/>
          </w:tcPr>
          <w:p w14:paraId="357D4A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  <w:r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  <w:t>年初余额</w:t>
            </w:r>
          </w:p>
        </w:tc>
      </w:tr>
      <w:tr w14:paraId="39106E76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  <w:jc w:val="center"/>
        </w:trPr>
        <w:tc>
          <w:tcPr>
            <w:tcW w:w="959" w:type="pct"/>
            <w:vMerge w:val="continue"/>
            <w:noWrap w:val="0"/>
            <w:vAlign w:val="center"/>
          </w:tcPr>
          <w:p w14:paraId="5C35692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eastAsia" w:ascii="宋体" w:hAnsi="宋体"/>
                <w:b/>
                <w:color w:val="auto"/>
                <w:spacing w:val="-14"/>
                <w:w w:val="90"/>
                <w:sz w:val="20"/>
              </w:rPr>
            </w:pPr>
          </w:p>
        </w:tc>
        <w:tc>
          <w:tcPr>
            <w:tcW w:w="1527" w:type="pct"/>
            <w:gridSpan w:val="2"/>
            <w:noWrap w:val="0"/>
            <w:vAlign w:val="center"/>
          </w:tcPr>
          <w:p w14:paraId="10E1A5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  <w:r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  <w:t>账面余额</w:t>
            </w:r>
          </w:p>
        </w:tc>
        <w:tc>
          <w:tcPr>
            <w:tcW w:w="1505" w:type="pct"/>
            <w:gridSpan w:val="2"/>
            <w:noWrap w:val="0"/>
            <w:vAlign w:val="center"/>
          </w:tcPr>
          <w:p w14:paraId="284AA1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  <w:r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  <w:t>坏账准备</w:t>
            </w:r>
          </w:p>
        </w:tc>
        <w:tc>
          <w:tcPr>
            <w:tcW w:w="1006" w:type="pct"/>
            <w:vMerge w:val="restart"/>
            <w:noWrap w:val="0"/>
            <w:vAlign w:val="center"/>
          </w:tcPr>
          <w:p w14:paraId="230AA3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  <w:r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  <w:t>账面价值</w:t>
            </w:r>
          </w:p>
        </w:tc>
      </w:tr>
      <w:tr w14:paraId="0803B365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  <w:jc w:val="center"/>
        </w:trPr>
        <w:tc>
          <w:tcPr>
            <w:tcW w:w="959" w:type="pct"/>
            <w:vMerge w:val="continue"/>
            <w:noWrap w:val="0"/>
            <w:vAlign w:val="center"/>
          </w:tcPr>
          <w:p w14:paraId="72F54FC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eastAsia" w:ascii="宋体" w:hAnsi="宋体"/>
                <w:b/>
                <w:color w:val="auto"/>
                <w:spacing w:val="-14"/>
                <w:w w:val="90"/>
                <w:sz w:val="20"/>
              </w:rPr>
            </w:pPr>
          </w:p>
        </w:tc>
        <w:tc>
          <w:tcPr>
            <w:tcW w:w="1060" w:type="pct"/>
            <w:noWrap w:val="0"/>
            <w:vAlign w:val="center"/>
          </w:tcPr>
          <w:p w14:paraId="09B3AC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  <w:r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  <w:t>金额</w:t>
            </w:r>
          </w:p>
        </w:tc>
        <w:tc>
          <w:tcPr>
            <w:tcW w:w="467" w:type="pct"/>
            <w:noWrap w:val="0"/>
            <w:vAlign w:val="center"/>
          </w:tcPr>
          <w:p w14:paraId="3FF8BF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  <w:r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  <w:t>比例（%）</w:t>
            </w:r>
          </w:p>
        </w:tc>
        <w:tc>
          <w:tcPr>
            <w:tcW w:w="1007" w:type="pct"/>
            <w:noWrap w:val="0"/>
            <w:vAlign w:val="center"/>
          </w:tcPr>
          <w:p w14:paraId="2FA18B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  <w:r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  <w:t>金额</w:t>
            </w:r>
          </w:p>
        </w:tc>
        <w:tc>
          <w:tcPr>
            <w:tcW w:w="498" w:type="pct"/>
            <w:noWrap w:val="0"/>
            <w:vAlign w:val="center"/>
          </w:tcPr>
          <w:p w14:paraId="01BFFA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  <w:r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  <w:t>预期信用损失率（%）</w:t>
            </w:r>
          </w:p>
        </w:tc>
        <w:tc>
          <w:tcPr>
            <w:tcW w:w="1006" w:type="pct"/>
            <w:vMerge w:val="continue"/>
            <w:noWrap w:val="0"/>
            <w:vAlign w:val="center"/>
          </w:tcPr>
          <w:p w14:paraId="297137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b/>
                <w:color w:val="auto"/>
                <w:szCs w:val="22"/>
              </w:rPr>
            </w:pPr>
          </w:p>
        </w:tc>
      </w:tr>
      <w:tr w14:paraId="43908D5B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59" w:type="pct"/>
            <w:noWrap w:val="0"/>
            <w:vAlign w:val="center"/>
          </w:tcPr>
          <w:p w14:paraId="271428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仿宋_GB2312" w:cs="Times New Roman"/>
                <w:color w:val="auto"/>
                <w:szCs w:val="22"/>
              </w:rPr>
            </w:pPr>
            <w:r>
              <w:rPr>
                <w:rFonts w:hint="eastAsia" w:ascii="宋体" w:hAnsi="宋体" w:eastAsia="仿宋_GB2312" w:cs="Times New Roman"/>
                <w:color w:val="auto"/>
                <w:szCs w:val="22"/>
              </w:rPr>
              <w:t>按单项计提坏账准备的应收账款</w:t>
            </w:r>
          </w:p>
        </w:tc>
        <w:tc>
          <w:tcPr>
            <w:tcW w:w="1060" w:type="pct"/>
            <w:noWrap w:val="0"/>
            <w:vAlign w:val="center"/>
          </w:tcPr>
          <w:p w14:paraId="4356DF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right"/>
              <w:textAlignment w:val="bottom"/>
              <w:rPr>
                <w:rFonts w:hint="eastAsia" w:ascii="宋体" w:hAnsi="宋体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kern w:val="0"/>
                <w:sz w:val="22"/>
                <w:szCs w:val="22"/>
                <w:lang w:val="en-US" w:eastAsia="zh-CN" w:bidi="ar"/>
              </w:rPr>
              <w:t>1,935,550,426.57</w:t>
            </w:r>
          </w:p>
        </w:tc>
        <w:tc>
          <w:tcPr>
            <w:tcW w:w="467" w:type="pct"/>
            <w:noWrap w:val="0"/>
            <w:vAlign w:val="center"/>
          </w:tcPr>
          <w:p w14:paraId="1D48DB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right"/>
              <w:textAlignment w:val="bottom"/>
              <w:rPr>
                <w:rFonts w:hint="default" w:ascii="宋体" w:hAnsi="宋体" w:eastAsia="宋体" w:cs="Times New Roman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kern w:val="0"/>
                <w:sz w:val="22"/>
                <w:szCs w:val="22"/>
                <w:lang w:val="en-US" w:eastAsia="zh-CN" w:bidi="ar"/>
              </w:rPr>
              <w:t>17.27</w:t>
            </w:r>
          </w:p>
        </w:tc>
        <w:tc>
          <w:tcPr>
            <w:tcW w:w="1007" w:type="pct"/>
            <w:noWrap w:val="0"/>
            <w:vAlign w:val="center"/>
          </w:tcPr>
          <w:p w14:paraId="3DBCA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right"/>
              <w:textAlignment w:val="bottom"/>
              <w:rPr>
                <w:rFonts w:hint="eastAsia" w:ascii="宋体" w:hAnsi="宋体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kern w:val="0"/>
                <w:sz w:val="22"/>
                <w:szCs w:val="22"/>
                <w:lang w:val="en-US" w:eastAsia="zh-CN" w:bidi="ar"/>
              </w:rPr>
              <w:t>1,748,290,512.17</w:t>
            </w:r>
          </w:p>
        </w:tc>
        <w:tc>
          <w:tcPr>
            <w:tcW w:w="498" w:type="pct"/>
            <w:noWrap w:val="0"/>
            <w:vAlign w:val="center"/>
          </w:tcPr>
          <w:p w14:paraId="3F00B7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right"/>
              <w:textAlignment w:val="bottom"/>
              <w:rPr>
                <w:rFonts w:hint="eastAsia" w:ascii="宋体" w:hAnsi="宋体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kern w:val="0"/>
                <w:sz w:val="22"/>
                <w:szCs w:val="22"/>
                <w:lang w:val="en-US" w:eastAsia="zh-CN" w:bidi="ar"/>
              </w:rPr>
              <w:t>90.33</w:t>
            </w:r>
          </w:p>
        </w:tc>
        <w:tc>
          <w:tcPr>
            <w:tcW w:w="1006" w:type="pct"/>
            <w:noWrap w:val="0"/>
            <w:vAlign w:val="center"/>
          </w:tcPr>
          <w:p w14:paraId="333477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right"/>
              <w:textAlignment w:val="bottom"/>
              <w:rPr>
                <w:rFonts w:hint="eastAsia" w:ascii="宋体" w:hAnsi="宋体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kern w:val="0"/>
                <w:sz w:val="22"/>
                <w:szCs w:val="22"/>
                <w:lang w:val="en-US" w:eastAsia="zh-CN" w:bidi="ar"/>
              </w:rPr>
              <w:t>187,259,914.40</w:t>
            </w:r>
          </w:p>
        </w:tc>
      </w:tr>
      <w:tr w14:paraId="1BFE627D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59" w:type="pct"/>
            <w:noWrap w:val="0"/>
            <w:vAlign w:val="center"/>
          </w:tcPr>
          <w:p w14:paraId="5367F8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仿宋_GB2312" w:cs="Times New Roman"/>
                <w:color w:val="auto"/>
                <w:szCs w:val="22"/>
              </w:rPr>
            </w:pPr>
            <w:r>
              <w:rPr>
                <w:rFonts w:hint="eastAsia" w:ascii="宋体" w:hAnsi="宋体" w:eastAsia="仿宋_GB2312" w:cs="Times New Roman"/>
                <w:color w:val="auto"/>
                <w:szCs w:val="22"/>
              </w:rPr>
              <w:t>按组合计提坏账准备的应收账款</w:t>
            </w:r>
          </w:p>
        </w:tc>
        <w:tc>
          <w:tcPr>
            <w:tcW w:w="1060" w:type="pct"/>
            <w:noWrap w:val="0"/>
            <w:vAlign w:val="center"/>
          </w:tcPr>
          <w:p w14:paraId="3CBC23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right"/>
              <w:textAlignment w:val="bottom"/>
              <w:rPr>
                <w:rFonts w:hint="eastAsia" w:ascii="宋体" w:hAnsi="宋体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kern w:val="0"/>
                <w:sz w:val="22"/>
                <w:szCs w:val="22"/>
                <w:lang w:val="en-US" w:eastAsia="zh-CN" w:bidi="ar"/>
              </w:rPr>
              <w:t>9,269,516,244.11</w:t>
            </w:r>
          </w:p>
        </w:tc>
        <w:tc>
          <w:tcPr>
            <w:tcW w:w="467" w:type="pct"/>
            <w:noWrap w:val="0"/>
            <w:vAlign w:val="center"/>
          </w:tcPr>
          <w:p w14:paraId="5BF74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right"/>
              <w:textAlignment w:val="bottom"/>
              <w:rPr>
                <w:rFonts w:hint="default" w:ascii="宋体" w:hAnsi="宋体" w:eastAsia="宋体" w:cs="Times New Roman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kern w:val="0"/>
                <w:sz w:val="22"/>
                <w:szCs w:val="22"/>
                <w:lang w:val="en-US" w:eastAsia="zh-CN" w:bidi="ar"/>
              </w:rPr>
              <w:t>82.73</w:t>
            </w:r>
          </w:p>
        </w:tc>
        <w:tc>
          <w:tcPr>
            <w:tcW w:w="1007" w:type="pct"/>
            <w:noWrap w:val="0"/>
            <w:vAlign w:val="center"/>
          </w:tcPr>
          <w:p w14:paraId="6B6ABB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right"/>
              <w:textAlignment w:val="bottom"/>
              <w:rPr>
                <w:rFonts w:hint="eastAsia" w:ascii="宋体" w:hAnsi="宋体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kern w:val="0"/>
                <w:sz w:val="22"/>
                <w:szCs w:val="22"/>
                <w:lang w:val="en-US" w:eastAsia="zh-CN" w:bidi="ar"/>
              </w:rPr>
              <w:t>1,096,797,510.03</w:t>
            </w:r>
          </w:p>
        </w:tc>
        <w:tc>
          <w:tcPr>
            <w:tcW w:w="498" w:type="pct"/>
            <w:noWrap w:val="0"/>
            <w:vAlign w:val="center"/>
          </w:tcPr>
          <w:p w14:paraId="76CE56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right"/>
              <w:textAlignment w:val="bottom"/>
              <w:rPr>
                <w:rFonts w:hint="eastAsia" w:ascii="宋体" w:hAnsi="宋体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kern w:val="0"/>
                <w:sz w:val="22"/>
                <w:szCs w:val="22"/>
                <w:lang w:val="en-US" w:eastAsia="zh-CN" w:bidi="ar"/>
              </w:rPr>
              <w:t>11.83</w:t>
            </w:r>
          </w:p>
        </w:tc>
        <w:tc>
          <w:tcPr>
            <w:tcW w:w="1006" w:type="pct"/>
            <w:noWrap w:val="0"/>
            <w:vAlign w:val="center"/>
          </w:tcPr>
          <w:p w14:paraId="663D58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right"/>
              <w:textAlignment w:val="bottom"/>
              <w:rPr>
                <w:rFonts w:hint="eastAsia" w:ascii="宋体" w:hAnsi="宋体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kern w:val="0"/>
                <w:sz w:val="22"/>
                <w:szCs w:val="22"/>
                <w:lang w:val="en-US" w:eastAsia="zh-CN" w:bidi="ar"/>
              </w:rPr>
              <w:t>8,172,718,734.08</w:t>
            </w:r>
          </w:p>
        </w:tc>
      </w:tr>
      <w:tr w14:paraId="2E63E5D5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59" w:type="pct"/>
            <w:noWrap w:val="0"/>
            <w:vAlign w:val="center"/>
          </w:tcPr>
          <w:p w14:paraId="51E794E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b/>
                <w:color w:val="auto"/>
                <w:spacing w:val="-14"/>
                <w:w w:val="90"/>
                <w:sz w:val="20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2"/>
              </w:rPr>
              <w:t>合</w:t>
            </w: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2"/>
              </w:rPr>
              <w:t>计</w:t>
            </w:r>
          </w:p>
        </w:tc>
        <w:tc>
          <w:tcPr>
            <w:tcW w:w="1060" w:type="pct"/>
            <w:noWrap w:val="0"/>
            <w:vAlign w:val="center"/>
          </w:tcPr>
          <w:p w14:paraId="3ECDC5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right"/>
              <w:textAlignment w:val="bottom"/>
              <w:rPr>
                <w:rFonts w:hint="eastAsia" w:ascii="宋体" w:hAnsi="宋体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10"/>
                <w:kern w:val="0"/>
                <w:sz w:val="22"/>
                <w:szCs w:val="22"/>
                <w:lang w:val="en-US" w:eastAsia="zh-CN" w:bidi="ar"/>
              </w:rPr>
              <w:t>11,205,066,670.68</w:t>
            </w:r>
          </w:p>
        </w:tc>
        <w:tc>
          <w:tcPr>
            <w:tcW w:w="467" w:type="pct"/>
            <w:noWrap w:val="0"/>
            <w:vAlign w:val="center"/>
          </w:tcPr>
          <w:p w14:paraId="7BC97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bottom"/>
              <w:rPr>
                <w:rFonts w:hint="eastAsia" w:ascii="宋体" w:hAnsi="宋体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10"/>
                <w:kern w:val="0"/>
                <w:sz w:val="22"/>
                <w:szCs w:val="22"/>
                <w:lang w:val="en-US" w:eastAsia="zh-CN" w:bidi="ar"/>
              </w:rPr>
              <w:t>——</w:t>
            </w:r>
          </w:p>
        </w:tc>
        <w:tc>
          <w:tcPr>
            <w:tcW w:w="1007" w:type="pct"/>
            <w:noWrap w:val="0"/>
            <w:vAlign w:val="center"/>
          </w:tcPr>
          <w:p w14:paraId="65C04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right"/>
              <w:textAlignment w:val="bottom"/>
              <w:rPr>
                <w:rFonts w:hint="eastAsia" w:ascii="宋体" w:hAnsi="宋体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10"/>
                <w:kern w:val="0"/>
                <w:sz w:val="22"/>
                <w:szCs w:val="22"/>
                <w:lang w:val="en-US" w:eastAsia="zh-CN" w:bidi="ar"/>
              </w:rPr>
              <w:t>2,845,088,022.20</w:t>
            </w:r>
          </w:p>
        </w:tc>
        <w:tc>
          <w:tcPr>
            <w:tcW w:w="498" w:type="pct"/>
            <w:noWrap w:val="0"/>
            <w:vAlign w:val="center"/>
          </w:tcPr>
          <w:p w14:paraId="5F8679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right"/>
              <w:textAlignment w:val="bottom"/>
              <w:rPr>
                <w:rFonts w:hint="eastAsia" w:ascii="宋体" w:hAnsi="宋体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10"/>
                <w:kern w:val="0"/>
                <w:sz w:val="22"/>
                <w:szCs w:val="22"/>
                <w:lang w:val="en-US" w:eastAsia="zh-CN" w:bidi="ar"/>
              </w:rPr>
              <w:t>25.39</w:t>
            </w:r>
          </w:p>
        </w:tc>
        <w:tc>
          <w:tcPr>
            <w:tcW w:w="1006" w:type="pct"/>
            <w:noWrap w:val="0"/>
            <w:vAlign w:val="center"/>
          </w:tcPr>
          <w:p w14:paraId="5B3175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right"/>
              <w:textAlignment w:val="bottom"/>
              <w:rPr>
                <w:rFonts w:hint="eastAsia" w:ascii="宋体" w:hAnsi="宋体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10"/>
                <w:kern w:val="0"/>
                <w:sz w:val="22"/>
                <w:szCs w:val="22"/>
                <w:lang w:val="en-US" w:eastAsia="zh-CN" w:bidi="ar"/>
              </w:rPr>
              <w:t>8,359,978,648.48</w:t>
            </w:r>
          </w:p>
        </w:tc>
      </w:tr>
    </w:tbl>
    <w:p w14:paraId="4E5BFBB8">
      <w:pPr>
        <w:numPr>
          <w:ilvl w:val="0"/>
          <w:numId w:val="0"/>
        </w:numPr>
        <w:adjustRightInd w:val="0"/>
        <w:spacing w:before="120" w:beforeLines="50" w:after="120" w:afterLines="50" w:line="360" w:lineRule="exact"/>
        <w:ind w:firstLine="640" w:firstLineChars="200"/>
        <w:jc w:val="both"/>
        <w:outlineLvl w:val="1"/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（2）存货</w:t>
      </w:r>
    </w:p>
    <w:tbl>
      <w:tblPr>
        <w:tblStyle w:val="14"/>
        <w:tblpPr w:leftFromText="180" w:rightFromText="180" w:vertAnchor="text" w:horzAnchor="page" w:tblpX="820" w:tblpY="311"/>
        <w:tblOverlap w:val="never"/>
        <w:tblW w:w="5769" w:type="pct"/>
        <w:jc w:val="center"/>
        <w:tblBorders>
          <w:top w:val="double" w:color="auto" w:sz="4" w:space="0"/>
          <w:left w:val="none" w:color="auto" w:sz="0" w:space="0"/>
          <w:bottom w:val="double" w:color="auto" w:sz="4" w:space="0"/>
          <w:right w:val="none" w:color="auto" w:sz="0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1705"/>
        <w:gridCol w:w="1377"/>
        <w:gridCol w:w="1622"/>
        <w:gridCol w:w="1555"/>
        <w:gridCol w:w="1448"/>
        <w:gridCol w:w="1590"/>
      </w:tblGrid>
      <w:tr w14:paraId="1BE57426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tblHeader/>
          <w:jc w:val="center"/>
        </w:trPr>
        <w:tc>
          <w:tcPr>
            <w:tcW w:w="1158" w:type="dxa"/>
            <w:vMerge w:val="restart"/>
            <w:noWrap w:val="0"/>
            <w:vAlign w:val="center"/>
          </w:tcPr>
          <w:p w14:paraId="5F3C5B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bCs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项目</w:t>
            </w:r>
          </w:p>
        </w:tc>
        <w:tc>
          <w:tcPr>
            <w:tcW w:w="4704" w:type="dxa"/>
            <w:gridSpan w:val="3"/>
            <w:noWrap w:val="0"/>
            <w:vAlign w:val="center"/>
          </w:tcPr>
          <w:p w14:paraId="05ECA2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bCs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年末余额</w:t>
            </w:r>
          </w:p>
        </w:tc>
        <w:tc>
          <w:tcPr>
            <w:tcW w:w="4593" w:type="dxa"/>
            <w:gridSpan w:val="3"/>
            <w:noWrap w:val="0"/>
            <w:vAlign w:val="center"/>
          </w:tcPr>
          <w:p w14:paraId="6D2F81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bCs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年初余额</w:t>
            </w:r>
          </w:p>
        </w:tc>
      </w:tr>
      <w:tr w14:paraId="4F7EF2E6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  <w:tblHeader/>
          <w:jc w:val="center"/>
        </w:trPr>
        <w:tc>
          <w:tcPr>
            <w:tcW w:w="1158" w:type="dxa"/>
            <w:vMerge w:val="continue"/>
            <w:noWrap w:val="0"/>
            <w:vAlign w:val="center"/>
          </w:tcPr>
          <w:p w14:paraId="18125D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b/>
                <w:bCs/>
                <w:color w:val="auto"/>
                <w:szCs w:val="22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672C4E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bCs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账面余额</w:t>
            </w:r>
          </w:p>
        </w:tc>
        <w:tc>
          <w:tcPr>
            <w:tcW w:w="1377" w:type="dxa"/>
            <w:noWrap w:val="0"/>
            <w:vAlign w:val="center"/>
          </w:tcPr>
          <w:p w14:paraId="185D02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bCs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跌价准备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合同履约成本减值准备</w:t>
            </w:r>
          </w:p>
        </w:tc>
        <w:tc>
          <w:tcPr>
            <w:tcW w:w="1622" w:type="dxa"/>
            <w:noWrap w:val="0"/>
            <w:vAlign w:val="center"/>
          </w:tcPr>
          <w:p w14:paraId="3DDF37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bCs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账面价值</w:t>
            </w:r>
          </w:p>
        </w:tc>
        <w:tc>
          <w:tcPr>
            <w:tcW w:w="1555" w:type="dxa"/>
            <w:noWrap w:val="0"/>
            <w:vAlign w:val="center"/>
          </w:tcPr>
          <w:p w14:paraId="3960A9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bCs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账面余额</w:t>
            </w:r>
          </w:p>
        </w:tc>
        <w:tc>
          <w:tcPr>
            <w:tcW w:w="1448" w:type="dxa"/>
            <w:noWrap w:val="0"/>
            <w:vAlign w:val="center"/>
          </w:tcPr>
          <w:p w14:paraId="2775AF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bCs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跌价准备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合同履约成本减值准备</w:t>
            </w:r>
          </w:p>
        </w:tc>
        <w:tc>
          <w:tcPr>
            <w:tcW w:w="1590" w:type="dxa"/>
            <w:noWrap w:val="0"/>
            <w:vAlign w:val="center"/>
          </w:tcPr>
          <w:p w14:paraId="3F9AA8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bCs/>
                <w:color w:val="auto"/>
                <w:szCs w:val="2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账面价值</w:t>
            </w:r>
          </w:p>
        </w:tc>
      </w:tr>
      <w:tr w14:paraId="5385111C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tblHeader/>
          <w:jc w:val="center"/>
        </w:trPr>
        <w:tc>
          <w:tcPr>
            <w:tcW w:w="1158" w:type="dxa"/>
            <w:noWrap w:val="0"/>
            <w:vAlign w:val="center"/>
          </w:tcPr>
          <w:p w14:paraId="604808C0">
            <w:pPr>
              <w:keepNext w:val="0"/>
              <w:keepLines w:val="0"/>
              <w:suppressLineNumbers w:val="0"/>
              <w:autoSpaceDE w:val="0"/>
              <w:autoSpaceDN w:val="0"/>
              <w:spacing w:before="0" w:beforeLines="0" w:beforeAutospacing="0" w:after="0" w:afterLines="0" w:afterAutospacing="0" w:line="24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</w:rPr>
              <w:t>原材料</w:t>
            </w:r>
          </w:p>
        </w:tc>
        <w:tc>
          <w:tcPr>
            <w:tcW w:w="1705" w:type="dxa"/>
            <w:noWrap w:val="0"/>
            <w:vAlign w:val="center"/>
          </w:tcPr>
          <w:p w14:paraId="5389CB6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360,995,795.59 </w:t>
            </w:r>
          </w:p>
        </w:tc>
        <w:tc>
          <w:tcPr>
            <w:tcW w:w="1377" w:type="dxa"/>
            <w:noWrap w:val="0"/>
            <w:vAlign w:val="center"/>
          </w:tcPr>
          <w:p w14:paraId="32226BD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2,863,834.96 </w:t>
            </w:r>
          </w:p>
        </w:tc>
        <w:tc>
          <w:tcPr>
            <w:tcW w:w="1622" w:type="dxa"/>
            <w:noWrap w:val="0"/>
            <w:vAlign w:val="center"/>
          </w:tcPr>
          <w:p w14:paraId="2E161D9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358,131,960.63 </w:t>
            </w:r>
          </w:p>
        </w:tc>
        <w:tc>
          <w:tcPr>
            <w:tcW w:w="1555" w:type="dxa"/>
            <w:noWrap w:val="0"/>
            <w:vAlign w:val="center"/>
          </w:tcPr>
          <w:p w14:paraId="3DA5E86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410,838,932.96 </w:t>
            </w:r>
          </w:p>
        </w:tc>
        <w:tc>
          <w:tcPr>
            <w:tcW w:w="1448" w:type="dxa"/>
            <w:noWrap w:val="0"/>
            <w:vAlign w:val="center"/>
          </w:tcPr>
          <w:p w14:paraId="78A11F5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14,746,583.89 </w:t>
            </w:r>
          </w:p>
        </w:tc>
        <w:tc>
          <w:tcPr>
            <w:tcW w:w="1590" w:type="dxa"/>
            <w:noWrap w:val="0"/>
            <w:vAlign w:val="center"/>
          </w:tcPr>
          <w:p w14:paraId="4AD44F3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396,092,349.07 </w:t>
            </w:r>
          </w:p>
        </w:tc>
      </w:tr>
      <w:tr w14:paraId="3F3F7258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tblHeader/>
          <w:jc w:val="center"/>
        </w:trPr>
        <w:tc>
          <w:tcPr>
            <w:tcW w:w="1158" w:type="dxa"/>
            <w:noWrap w:val="0"/>
            <w:vAlign w:val="center"/>
          </w:tcPr>
          <w:p w14:paraId="5DC83085">
            <w:pPr>
              <w:keepNext w:val="0"/>
              <w:keepLines w:val="0"/>
              <w:suppressLineNumbers w:val="0"/>
              <w:autoSpaceDE w:val="0"/>
              <w:autoSpaceDN w:val="0"/>
              <w:spacing w:before="0" w:beforeLines="0" w:beforeAutospacing="0" w:after="0" w:afterLines="0" w:afterAutospacing="0" w:line="24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</w:rPr>
              <w:t>自制半成品及在产品</w:t>
            </w:r>
          </w:p>
        </w:tc>
        <w:tc>
          <w:tcPr>
            <w:tcW w:w="1705" w:type="dxa"/>
            <w:noWrap w:val="0"/>
            <w:vAlign w:val="center"/>
          </w:tcPr>
          <w:p w14:paraId="61E332E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3,988,776,550.89 </w:t>
            </w:r>
          </w:p>
        </w:tc>
        <w:tc>
          <w:tcPr>
            <w:tcW w:w="1377" w:type="dxa"/>
            <w:noWrap w:val="0"/>
            <w:vAlign w:val="center"/>
          </w:tcPr>
          <w:p w14:paraId="3B250C0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124,859,389.32 </w:t>
            </w:r>
          </w:p>
        </w:tc>
        <w:tc>
          <w:tcPr>
            <w:tcW w:w="1622" w:type="dxa"/>
            <w:noWrap w:val="0"/>
            <w:vAlign w:val="center"/>
          </w:tcPr>
          <w:p w14:paraId="6592C72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3,863,917,161.57 </w:t>
            </w:r>
          </w:p>
        </w:tc>
        <w:tc>
          <w:tcPr>
            <w:tcW w:w="1555" w:type="dxa"/>
            <w:noWrap w:val="0"/>
            <w:vAlign w:val="center"/>
          </w:tcPr>
          <w:p w14:paraId="23AAE5E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6,257,014,727.51 </w:t>
            </w:r>
          </w:p>
        </w:tc>
        <w:tc>
          <w:tcPr>
            <w:tcW w:w="1448" w:type="dxa"/>
            <w:noWrap w:val="0"/>
            <w:vAlign w:val="center"/>
          </w:tcPr>
          <w:p w14:paraId="62EC64F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225,703,453.56 </w:t>
            </w:r>
          </w:p>
        </w:tc>
        <w:tc>
          <w:tcPr>
            <w:tcW w:w="1590" w:type="dxa"/>
            <w:noWrap w:val="0"/>
            <w:vAlign w:val="center"/>
          </w:tcPr>
          <w:p w14:paraId="37555B9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6,031,311,273.95 </w:t>
            </w:r>
          </w:p>
        </w:tc>
      </w:tr>
      <w:tr w14:paraId="084C69BB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tblHeader/>
          <w:jc w:val="center"/>
        </w:trPr>
        <w:tc>
          <w:tcPr>
            <w:tcW w:w="1158" w:type="dxa"/>
            <w:noWrap w:val="0"/>
            <w:vAlign w:val="center"/>
          </w:tcPr>
          <w:p w14:paraId="192951F7">
            <w:pPr>
              <w:keepNext w:val="0"/>
              <w:keepLines w:val="0"/>
              <w:suppressLineNumbers w:val="0"/>
              <w:autoSpaceDE w:val="0"/>
              <w:autoSpaceDN w:val="0"/>
              <w:spacing w:before="0" w:beforeLines="0" w:beforeAutospacing="0" w:after="0" w:afterLines="0" w:afterAutospacing="0" w:line="24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</w:rPr>
              <w:t>其中：开发成本</w:t>
            </w:r>
          </w:p>
        </w:tc>
        <w:tc>
          <w:tcPr>
            <w:tcW w:w="1705" w:type="dxa"/>
            <w:noWrap w:val="0"/>
            <w:vAlign w:val="center"/>
          </w:tcPr>
          <w:p w14:paraId="71A0B47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3,980,377,515.27 </w:t>
            </w:r>
          </w:p>
        </w:tc>
        <w:tc>
          <w:tcPr>
            <w:tcW w:w="1377" w:type="dxa"/>
            <w:noWrap w:val="0"/>
            <w:vAlign w:val="center"/>
          </w:tcPr>
          <w:p w14:paraId="7ACDD19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124,859,389.32 </w:t>
            </w:r>
          </w:p>
        </w:tc>
        <w:tc>
          <w:tcPr>
            <w:tcW w:w="1622" w:type="dxa"/>
            <w:noWrap w:val="0"/>
            <w:vAlign w:val="center"/>
          </w:tcPr>
          <w:p w14:paraId="39F200E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3,855,518,125.95 </w:t>
            </w:r>
          </w:p>
        </w:tc>
        <w:tc>
          <w:tcPr>
            <w:tcW w:w="1555" w:type="dxa"/>
            <w:noWrap w:val="0"/>
            <w:vAlign w:val="center"/>
          </w:tcPr>
          <w:p w14:paraId="48FF134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6,244,847,631.42 </w:t>
            </w:r>
          </w:p>
        </w:tc>
        <w:tc>
          <w:tcPr>
            <w:tcW w:w="1448" w:type="dxa"/>
            <w:noWrap w:val="0"/>
            <w:vAlign w:val="center"/>
          </w:tcPr>
          <w:p w14:paraId="4FA25E8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225,703,453.56 </w:t>
            </w:r>
          </w:p>
        </w:tc>
        <w:tc>
          <w:tcPr>
            <w:tcW w:w="1590" w:type="dxa"/>
            <w:noWrap w:val="0"/>
            <w:vAlign w:val="center"/>
          </w:tcPr>
          <w:p w14:paraId="1F6E6B1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6,019,144,177.86 </w:t>
            </w:r>
          </w:p>
        </w:tc>
      </w:tr>
      <w:tr w14:paraId="6EFB0E01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  <w:tblHeader/>
          <w:jc w:val="center"/>
        </w:trPr>
        <w:tc>
          <w:tcPr>
            <w:tcW w:w="1158" w:type="dxa"/>
            <w:noWrap w:val="0"/>
            <w:vAlign w:val="center"/>
          </w:tcPr>
          <w:p w14:paraId="5A986A4D">
            <w:pPr>
              <w:keepNext w:val="0"/>
              <w:keepLines w:val="0"/>
              <w:suppressLineNumbers w:val="0"/>
              <w:autoSpaceDE w:val="0"/>
              <w:autoSpaceDN w:val="0"/>
              <w:spacing w:before="0" w:beforeLines="0" w:beforeAutospacing="0" w:after="0" w:afterLines="0" w:afterAutospacing="0" w:line="24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</w:rPr>
              <w:t>库存商品（产成品）</w:t>
            </w:r>
          </w:p>
        </w:tc>
        <w:tc>
          <w:tcPr>
            <w:tcW w:w="1705" w:type="dxa"/>
            <w:noWrap w:val="0"/>
            <w:vAlign w:val="center"/>
          </w:tcPr>
          <w:p w14:paraId="7E7686E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19,351,957,845.28 </w:t>
            </w:r>
          </w:p>
        </w:tc>
        <w:tc>
          <w:tcPr>
            <w:tcW w:w="1377" w:type="dxa"/>
            <w:noWrap w:val="0"/>
            <w:vAlign w:val="center"/>
          </w:tcPr>
          <w:p w14:paraId="6A9F055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230,661,312.50 </w:t>
            </w:r>
          </w:p>
        </w:tc>
        <w:tc>
          <w:tcPr>
            <w:tcW w:w="1622" w:type="dxa"/>
            <w:noWrap w:val="0"/>
            <w:vAlign w:val="center"/>
          </w:tcPr>
          <w:p w14:paraId="62B3D15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19,121,296,532.78 </w:t>
            </w:r>
          </w:p>
        </w:tc>
        <w:tc>
          <w:tcPr>
            <w:tcW w:w="1555" w:type="dxa"/>
            <w:noWrap w:val="0"/>
            <w:vAlign w:val="center"/>
          </w:tcPr>
          <w:p w14:paraId="2400A28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17,344,904,613.23 </w:t>
            </w:r>
          </w:p>
        </w:tc>
        <w:tc>
          <w:tcPr>
            <w:tcW w:w="1448" w:type="dxa"/>
            <w:noWrap w:val="0"/>
            <w:vAlign w:val="center"/>
          </w:tcPr>
          <w:p w14:paraId="7AF65DB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230,487,856.41 </w:t>
            </w:r>
          </w:p>
        </w:tc>
        <w:tc>
          <w:tcPr>
            <w:tcW w:w="1590" w:type="dxa"/>
            <w:noWrap w:val="0"/>
            <w:vAlign w:val="center"/>
          </w:tcPr>
          <w:p w14:paraId="205D445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17,114,416,756.82 </w:t>
            </w:r>
          </w:p>
        </w:tc>
      </w:tr>
      <w:tr w14:paraId="300286C0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tblHeader/>
          <w:jc w:val="center"/>
        </w:trPr>
        <w:tc>
          <w:tcPr>
            <w:tcW w:w="1158" w:type="dxa"/>
            <w:noWrap w:val="0"/>
            <w:vAlign w:val="center"/>
          </w:tcPr>
          <w:p w14:paraId="2B630C9E">
            <w:pPr>
              <w:keepNext w:val="0"/>
              <w:keepLines w:val="0"/>
              <w:suppressLineNumbers w:val="0"/>
              <w:autoSpaceDE w:val="0"/>
              <w:autoSpaceDN w:val="0"/>
              <w:spacing w:before="0" w:beforeLines="0" w:beforeAutospacing="0" w:after="0" w:afterLines="0" w:afterAutospacing="0" w:line="24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</w:rPr>
              <w:t>其中：开发产品</w:t>
            </w:r>
          </w:p>
        </w:tc>
        <w:tc>
          <w:tcPr>
            <w:tcW w:w="1705" w:type="dxa"/>
            <w:noWrap w:val="0"/>
            <w:vAlign w:val="center"/>
          </w:tcPr>
          <w:p w14:paraId="5CCA52C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1,084,312,731.63 </w:t>
            </w:r>
          </w:p>
        </w:tc>
        <w:tc>
          <w:tcPr>
            <w:tcW w:w="1377" w:type="dxa"/>
            <w:noWrap w:val="0"/>
            <w:vAlign w:val="center"/>
          </w:tcPr>
          <w:p w14:paraId="7F4635D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622" w:type="dxa"/>
            <w:noWrap w:val="0"/>
            <w:vAlign w:val="center"/>
          </w:tcPr>
          <w:p w14:paraId="26238F1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1,084,312,731.63 </w:t>
            </w:r>
          </w:p>
        </w:tc>
        <w:tc>
          <w:tcPr>
            <w:tcW w:w="1555" w:type="dxa"/>
            <w:noWrap w:val="0"/>
            <w:vAlign w:val="center"/>
          </w:tcPr>
          <w:p w14:paraId="7E43CED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180,721,054.67 </w:t>
            </w:r>
          </w:p>
        </w:tc>
        <w:tc>
          <w:tcPr>
            <w:tcW w:w="1448" w:type="dxa"/>
            <w:noWrap w:val="0"/>
            <w:vAlign w:val="center"/>
          </w:tcPr>
          <w:p w14:paraId="73CA70F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14C5014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180,721,054.67 </w:t>
            </w:r>
          </w:p>
        </w:tc>
      </w:tr>
      <w:tr w14:paraId="1A59EEF7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tblHeader/>
          <w:jc w:val="center"/>
        </w:trPr>
        <w:tc>
          <w:tcPr>
            <w:tcW w:w="1158" w:type="dxa"/>
            <w:noWrap w:val="0"/>
            <w:vAlign w:val="center"/>
          </w:tcPr>
          <w:p w14:paraId="379B4D73">
            <w:pPr>
              <w:keepNext w:val="0"/>
              <w:keepLines w:val="0"/>
              <w:suppressLineNumbers w:val="0"/>
              <w:autoSpaceDE w:val="0"/>
              <w:autoSpaceDN w:val="0"/>
              <w:spacing w:before="0" w:beforeLines="0" w:beforeAutospacing="0" w:after="0" w:afterLines="0" w:afterAutospacing="0" w:line="24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</w:rPr>
              <w:t>周转材料（包装物、低值易耗品等）</w:t>
            </w:r>
          </w:p>
        </w:tc>
        <w:tc>
          <w:tcPr>
            <w:tcW w:w="1705" w:type="dxa"/>
            <w:noWrap w:val="0"/>
            <w:vAlign w:val="center"/>
          </w:tcPr>
          <w:p w14:paraId="1D238A2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1,116,574.03 </w:t>
            </w:r>
          </w:p>
        </w:tc>
        <w:tc>
          <w:tcPr>
            <w:tcW w:w="1377" w:type="dxa"/>
            <w:noWrap w:val="0"/>
            <w:vAlign w:val="center"/>
          </w:tcPr>
          <w:p w14:paraId="4929E59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86,251.39 </w:t>
            </w:r>
          </w:p>
        </w:tc>
        <w:tc>
          <w:tcPr>
            <w:tcW w:w="1622" w:type="dxa"/>
            <w:noWrap w:val="0"/>
            <w:vAlign w:val="center"/>
          </w:tcPr>
          <w:p w14:paraId="3CC629F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1,030,322.64 </w:t>
            </w:r>
          </w:p>
        </w:tc>
        <w:tc>
          <w:tcPr>
            <w:tcW w:w="1555" w:type="dxa"/>
            <w:noWrap w:val="0"/>
            <w:vAlign w:val="center"/>
          </w:tcPr>
          <w:p w14:paraId="5CE15F8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833,371.11 </w:t>
            </w:r>
          </w:p>
        </w:tc>
        <w:tc>
          <w:tcPr>
            <w:tcW w:w="1448" w:type="dxa"/>
            <w:noWrap w:val="0"/>
            <w:vAlign w:val="center"/>
          </w:tcPr>
          <w:p w14:paraId="292D8B8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86,251.39 </w:t>
            </w:r>
          </w:p>
        </w:tc>
        <w:tc>
          <w:tcPr>
            <w:tcW w:w="1590" w:type="dxa"/>
            <w:noWrap w:val="0"/>
            <w:vAlign w:val="center"/>
          </w:tcPr>
          <w:p w14:paraId="4056F01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747,119.72 </w:t>
            </w:r>
          </w:p>
        </w:tc>
      </w:tr>
      <w:tr w14:paraId="2CD2C6DA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tblHeader/>
          <w:jc w:val="center"/>
        </w:trPr>
        <w:tc>
          <w:tcPr>
            <w:tcW w:w="1158" w:type="dxa"/>
            <w:noWrap w:val="0"/>
            <w:vAlign w:val="center"/>
          </w:tcPr>
          <w:p w14:paraId="1E8155F3">
            <w:pPr>
              <w:keepNext w:val="0"/>
              <w:keepLines w:val="0"/>
              <w:suppressLineNumbers w:val="0"/>
              <w:autoSpaceDE w:val="0"/>
              <w:autoSpaceDN w:val="0"/>
              <w:spacing w:before="0" w:beforeLines="0" w:beforeAutospacing="0" w:after="0" w:afterLines="0" w:afterAutospacing="0" w:line="24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</w:rPr>
              <w:t>消耗性生物资产</w:t>
            </w:r>
          </w:p>
        </w:tc>
        <w:tc>
          <w:tcPr>
            <w:tcW w:w="1705" w:type="dxa"/>
            <w:noWrap w:val="0"/>
            <w:vAlign w:val="center"/>
          </w:tcPr>
          <w:p w14:paraId="08FFCF7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22,556,232.24 </w:t>
            </w:r>
          </w:p>
        </w:tc>
        <w:tc>
          <w:tcPr>
            <w:tcW w:w="1377" w:type="dxa"/>
            <w:noWrap w:val="0"/>
            <w:vAlign w:val="center"/>
          </w:tcPr>
          <w:p w14:paraId="19109A9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622" w:type="dxa"/>
            <w:noWrap w:val="0"/>
            <w:vAlign w:val="center"/>
          </w:tcPr>
          <w:p w14:paraId="0C51B0F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22,556,232.24 </w:t>
            </w:r>
          </w:p>
        </w:tc>
        <w:tc>
          <w:tcPr>
            <w:tcW w:w="1555" w:type="dxa"/>
            <w:noWrap w:val="0"/>
            <w:vAlign w:val="center"/>
          </w:tcPr>
          <w:p w14:paraId="639BEC9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22,556,232.24 </w:t>
            </w:r>
          </w:p>
        </w:tc>
        <w:tc>
          <w:tcPr>
            <w:tcW w:w="1448" w:type="dxa"/>
            <w:noWrap w:val="0"/>
            <w:vAlign w:val="center"/>
          </w:tcPr>
          <w:p w14:paraId="611DC8C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401E47B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22,556,232.24 </w:t>
            </w:r>
          </w:p>
        </w:tc>
      </w:tr>
      <w:tr w14:paraId="78C3036A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tblHeader/>
          <w:jc w:val="center"/>
        </w:trPr>
        <w:tc>
          <w:tcPr>
            <w:tcW w:w="1158" w:type="dxa"/>
            <w:noWrap w:val="0"/>
            <w:vAlign w:val="center"/>
          </w:tcPr>
          <w:p w14:paraId="6B0D1CC8">
            <w:pPr>
              <w:keepNext w:val="0"/>
              <w:keepLines w:val="0"/>
              <w:suppressLineNumbers w:val="0"/>
              <w:autoSpaceDE w:val="0"/>
              <w:autoSpaceDN w:val="0"/>
              <w:spacing w:before="0" w:beforeLines="0" w:beforeAutospacing="0" w:after="0" w:afterLines="0" w:afterAutospacing="0" w:line="24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</w:rPr>
              <w:t>合同履约成本</w:t>
            </w:r>
          </w:p>
        </w:tc>
        <w:tc>
          <w:tcPr>
            <w:tcW w:w="1705" w:type="dxa"/>
            <w:noWrap w:val="0"/>
            <w:vAlign w:val="center"/>
          </w:tcPr>
          <w:p w14:paraId="67B22FA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2,045,644,890.71 </w:t>
            </w:r>
          </w:p>
        </w:tc>
        <w:tc>
          <w:tcPr>
            <w:tcW w:w="1377" w:type="dxa"/>
            <w:noWrap w:val="0"/>
            <w:vAlign w:val="center"/>
          </w:tcPr>
          <w:p w14:paraId="08C4907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622" w:type="dxa"/>
            <w:noWrap w:val="0"/>
            <w:vAlign w:val="center"/>
          </w:tcPr>
          <w:p w14:paraId="51204C3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2,045,644,890.71 </w:t>
            </w:r>
          </w:p>
        </w:tc>
        <w:tc>
          <w:tcPr>
            <w:tcW w:w="1555" w:type="dxa"/>
            <w:noWrap w:val="0"/>
            <w:vAlign w:val="center"/>
          </w:tcPr>
          <w:p w14:paraId="17DB024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1,807,402,633.96 </w:t>
            </w:r>
          </w:p>
        </w:tc>
        <w:tc>
          <w:tcPr>
            <w:tcW w:w="1448" w:type="dxa"/>
            <w:noWrap w:val="0"/>
            <w:vAlign w:val="center"/>
          </w:tcPr>
          <w:p w14:paraId="5403D61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618D5CF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1,807,402,633.96 </w:t>
            </w:r>
          </w:p>
        </w:tc>
      </w:tr>
      <w:tr w14:paraId="7FF3E112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tblHeader/>
          <w:jc w:val="center"/>
        </w:trPr>
        <w:tc>
          <w:tcPr>
            <w:tcW w:w="1158" w:type="dxa"/>
            <w:noWrap w:val="0"/>
            <w:vAlign w:val="center"/>
          </w:tcPr>
          <w:p w14:paraId="0EF9083F">
            <w:pPr>
              <w:keepNext w:val="0"/>
              <w:keepLines w:val="0"/>
              <w:suppressLineNumbers w:val="0"/>
              <w:autoSpaceDE w:val="0"/>
              <w:autoSpaceDN w:val="0"/>
              <w:spacing w:before="0" w:beforeLines="0" w:beforeAutospacing="0" w:after="0" w:afterLines="0" w:afterAutospacing="0" w:line="240" w:lineRule="auto"/>
              <w:ind w:left="0" w:right="0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</w:rPr>
              <w:t>其他</w:t>
            </w:r>
          </w:p>
        </w:tc>
        <w:tc>
          <w:tcPr>
            <w:tcW w:w="1705" w:type="dxa"/>
            <w:noWrap w:val="0"/>
            <w:vAlign w:val="center"/>
          </w:tcPr>
          <w:p w14:paraId="4DA8475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157,610,453.62 </w:t>
            </w:r>
          </w:p>
        </w:tc>
        <w:tc>
          <w:tcPr>
            <w:tcW w:w="1377" w:type="dxa"/>
            <w:noWrap w:val="0"/>
            <w:vAlign w:val="center"/>
          </w:tcPr>
          <w:p w14:paraId="106106F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4,390,684.78 </w:t>
            </w:r>
          </w:p>
        </w:tc>
        <w:tc>
          <w:tcPr>
            <w:tcW w:w="1622" w:type="dxa"/>
            <w:noWrap w:val="0"/>
            <w:vAlign w:val="center"/>
          </w:tcPr>
          <w:p w14:paraId="3F779AF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153,219,768.84 </w:t>
            </w:r>
          </w:p>
        </w:tc>
        <w:tc>
          <w:tcPr>
            <w:tcW w:w="1555" w:type="dxa"/>
            <w:noWrap w:val="0"/>
            <w:vAlign w:val="center"/>
          </w:tcPr>
          <w:p w14:paraId="083A706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54,048,372.36 </w:t>
            </w:r>
          </w:p>
        </w:tc>
        <w:tc>
          <w:tcPr>
            <w:tcW w:w="1448" w:type="dxa"/>
            <w:noWrap w:val="0"/>
            <w:vAlign w:val="center"/>
          </w:tcPr>
          <w:p w14:paraId="2D9BC0B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4,390,684.78 </w:t>
            </w:r>
          </w:p>
        </w:tc>
        <w:tc>
          <w:tcPr>
            <w:tcW w:w="1590" w:type="dxa"/>
            <w:noWrap w:val="0"/>
            <w:vAlign w:val="center"/>
          </w:tcPr>
          <w:p w14:paraId="2ED1DEF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15"/>
                <w:szCs w:val="15"/>
                <w:lang w:bidi="ar"/>
              </w:rPr>
              <w:t xml:space="preserve">49,657,687.58 </w:t>
            </w:r>
          </w:p>
        </w:tc>
      </w:tr>
      <w:tr w14:paraId="0A00F30E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tblHeader/>
          <w:jc w:val="center"/>
        </w:trPr>
        <w:tc>
          <w:tcPr>
            <w:tcW w:w="1158" w:type="dxa"/>
            <w:noWrap w:val="0"/>
            <w:vAlign w:val="center"/>
          </w:tcPr>
          <w:p w14:paraId="0F3905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计</w:t>
            </w:r>
          </w:p>
        </w:tc>
        <w:tc>
          <w:tcPr>
            <w:tcW w:w="1705" w:type="dxa"/>
            <w:noWrap w:val="0"/>
            <w:vAlign w:val="center"/>
          </w:tcPr>
          <w:p w14:paraId="05339FA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color w:val="auto"/>
                <w:sz w:val="15"/>
                <w:szCs w:val="15"/>
                <w:lang w:bidi="ar"/>
              </w:rPr>
              <w:t xml:space="preserve">25,928,658,342.36 </w:t>
            </w:r>
          </w:p>
        </w:tc>
        <w:tc>
          <w:tcPr>
            <w:tcW w:w="1377" w:type="dxa"/>
            <w:noWrap w:val="0"/>
            <w:vAlign w:val="center"/>
          </w:tcPr>
          <w:p w14:paraId="4B2018F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color w:val="auto"/>
                <w:sz w:val="15"/>
                <w:szCs w:val="15"/>
                <w:lang w:bidi="ar"/>
              </w:rPr>
              <w:t xml:space="preserve">362,861,472.95 </w:t>
            </w:r>
          </w:p>
        </w:tc>
        <w:tc>
          <w:tcPr>
            <w:tcW w:w="1622" w:type="dxa"/>
            <w:noWrap w:val="0"/>
            <w:vAlign w:val="center"/>
          </w:tcPr>
          <w:p w14:paraId="5E7B828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color w:val="auto"/>
                <w:sz w:val="15"/>
                <w:szCs w:val="15"/>
                <w:lang w:bidi="ar"/>
              </w:rPr>
              <w:t xml:space="preserve">25,565,796,869.41 </w:t>
            </w:r>
          </w:p>
        </w:tc>
        <w:tc>
          <w:tcPr>
            <w:tcW w:w="1555" w:type="dxa"/>
            <w:noWrap w:val="0"/>
            <w:vAlign w:val="center"/>
          </w:tcPr>
          <w:p w14:paraId="64DC9A1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color w:val="auto"/>
                <w:sz w:val="15"/>
                <w:szCs w:val="15"/>
                <w:lang w:bidi="ar"/>
              </w:rPr>
              <w:t xml:space="preserve">25,897,598,883.37 </w:t>
            </w:r>
          </w:p>
        </w:tc>
        <w:tc>
          <w:tcPr>
            <w:tcW w:w="1448" w:type="dxa"/>
            <w:noWrap w:val="0"/>
            <w:vAlign w:val="center"/>
          </w:tcPr>
          <w:p w14:paraId="2E99471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color w:val="auto"/>
                <w:sz w:val="15"/>
                <w:szCs w:val="15"/>
                <w:lang w:bidi="ar"/>
              </w:rPr>
              <w:t xml:space="preserve">475,414,830.03 </w:t>
            </w:r>
          </w:p>
        </w:tc>
        <w:tc>
          <w:tcPr>
            <w:tcW w:w="1590" w:type="dxa"/>
            <w:noWrap w:val="0"/>
            <w:vAlign w:val="center"/>
          </w:tcPr>
          <w:p w14:paraId="64A429B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color w:val="auto"/>
                <w:sz w:val="15"/>
                <w:szCs w:val="15"/>
                <w:lang w:bidi="ar"/>
              </w:rPr>
              <w:t xml:space="preserve">25,422,184,053.34 </w:t>
            </w:r>
          </w:p>
        </w:tc>
      </w:tr>
    </w:tbl>
    <w:p w14:paraId="18D7E727">
      <w:pPr>
        <w:numPr>
          <w:ilvl w:val="0"/>
          <w:numId w:val="0"/>
        </w:numPr>
        <w:adjustRightInd w:val="0"/>
        <w:spacing w:before="120" w:beforeLines="50" w:after="120" w:afterLines="50" w:line="360" w:lineRule="exact"/>
        <w:ind w:firstLine="640" w:firstLineChars="200"/>
        <w:jc w:val="both"/>
        <w:outlineLvl w:val="1"/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06C2797B">
      <w:pPr>
        <w:numPr>
          <w:ilvl w:val="0"/>
          <w:numId w:val="0"/>
        </w:numPr>
        <w:adjustRightInd w:val="0"/>
        <w:spacing w:before="120" w:beforeLines="50" w:after="120" w:afterLines="50" w:line="360" w:lineRule="exact"/>
        <w:ind w:firstLine="640" w:firstLineChars="200"/>
        <w:jc w:val="both"/>
        <w:outlineLvl w:val="1"/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（3）固定资产</w:t>
      </w:r>
    </w:p>
    <w:tbl>
      <w:tblPr>
        <w:tblStyle w:val="14"/>
        <w:tblW w:w="9145" w:type="dxa"/>
        <w:tblInd w:w="0" w:type="dxa"/>
        <w:tblBorders>
          <w:top w:val="double" w:color="auto" w:sz="4" w:space="0"/>
          <w:left w:val="none" w:color="auto" w:sz="0" w:space="0"/>
          <w:bottom w:val="double" w:color="auto" w:sz="4" w:space="0"/>
          <w:right w:val="none" w:color="auto" w:sz="0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8"/>
        <w:gridCol w:w="2817"/>
        <w:gridCol w:w="2950"/>
      </w:tblGrid>
      <w:tr w14:paraId="0381B2EC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3378" w:type="dxa"/>
            <w:noWrap w:val="0"/>
            <w:vAlign w:val="center"/>
          </w:tcPr>
          <w:p w14:paraId="113ED9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仿宋_GB2312" w:cs="宋体"/>
                <w:b/>
                <w:bCs/>
                <w:color w:val="auto"/>
                <w:sz w:val="21"/>
                <w:szCs w:val="21"/>
              </w:rPr>
              <w:t>项目</w:t>
            </w:r>
          </w:p>
        </w:tc>
        <w:tc>
          <w:tcPr>
            <w:tcW w:w="2817" w:type="dxa"/>
            <w:noWrap w:val="0"/>
            <w:vAlign w:val="center"/>
          </w:tcPr>
          <w:p w14:paraId="6C49D6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仿宋_GB2312" w:cs="宋体"/>
                <w:b/>
                <w:bCs/>
                <w:color w:val="auto"/>
                <w:sz w:val="21"/>
                <w:szCs w:val="21"/>
              </w:rPr>
              <w:t>年末账面价值</w:t>
            </w:r>
          </w:p>
        </w:tc>
        <w:tc>
          <w:tcPr>
            <w:tcW w:w="2950" w:type="dxa"/>
            <w:noWrap w:val="0"/>
            <w:vAlign w:val="center"/>
          </w:tcPr>
          <w:p w14:paraId="27F743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仿宋_GB2312" w:cs="宋体"/>
                <w:b/>
                <w:bCs/>
                <w:color w:val="auto"/>
                <w:sz w:val="21"/>
                <w:szCs w:val="21"/>
              </w:rPr>
              <w:t>年初账面价值</w:t>
            </w:r>
          </w:p>
        </w:tc>
      </w:tr>
      <w:tr w14:paraId="7C0F1AF0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3378" w:type="dxa"/>
            <w:noWrap w:val="0"/>
            <w:vAlign w:val="center"/>
          </w:tcPr>
          <w:p w14:paraId="0FA4A5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30" w:firstLineChars="300"/>
              <w:rPr>
                <w:rFonts w:hint="eastAsia" w:ascii="宋体" w:hAnsi="宋体" w:eastAsia="仿宋_GB2312" w:cs="Times New Roman"/>
                <w:color w:val="auto"/>
                <w:szCs w:val="21"/>
              </w:rPr>
            </w:pPr>
            <w:r>
              <w:rPr>
                <w:rFonts w:hint="eastAsia" w:ascii="宋体" w:hAnsi="宋体" w:eastAsia="仿宋_GB2312" w:cs="Times New Roman"/>
                <w:color w:val="auto"/>
                <w:szCs w:val="21"/>
              </w:rPr>
              <w:t>固定资产</w:t>
            </w:r>
          </w:p>
        </w:tc>
        <w:tc>
          <w:tcPr>
            <w:tcW w:w="2817" w:type="dxa"/>
            <w:noWrap w:val="0"/>
            <w:vAlign w:val="center"/>
          </w:tcPr>
          <w:p w14:paraId="063E43B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109,350,308,468.02</w:t>
            </w:r>
          </w:p>
        </w:tc>
        <w:tc>
          <w:tcPr>
            <w:tcW w:w="2950" w:type="dxa"/>
            <w:noWrap w:val="0"/>
            <w:vAlign w:val="center"/>
          </w:tcPr>
          <w:p w14:paraId="4F2E883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103,918,409,760.97</w:t>
            </w:r>
          </w:p>
        </w:tc>
      </w:tr>
      <w:tr w14:paraId="29703334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3378" w:type="dxa"/>
            <w:noWrap w:val="0"/>
            <w:vAlign w:val="center"/>
          </w:tcPr>
          <w:p w14:paraId="0E72B5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30" w:firstLineChars="300"/>
              <w:rPr>
                <w:rFonts w:hint="eastAsia" w:ascii="宋体" w:hAnsi="宋体" w:eastAsia="仿宋_GB2312" w:cs="Times New Roman"/>
                <w:color w:val="auto"/>
                <w:szCs w:val="21"/>
              </w:rPr>
            </w:pPr>
            <w:r>
              <w:rPr>
                <w:rFonts w:hint="eastAsia" w:ascii="宋体" w:hAnsi="宋体" w:eastAsia="仿宋_GB2312" w:cs="Times New Roman"/>
                <w:color w:val="auto"/>
                <w:szCs w:val="21"/>
              </w:rPr>
              <w:t>固定资产清理</w:t>
            </w:r>
          </w:p>
        </w:tc>
        <w:tc>
          <w:tcPr>
            <w:tcW w:w="2817" w:type="dxa"/>
            <w:noWrap w:val="0"/>
            <w:vAlign w:val="center"/>
          </w:tcPr>
          <w:p w14:paraId="28A7B4A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12,805,894.57</w:t>
            </w:r>
          </w:p>
        </w:tc>
        <w:tc>
          <w:tcPr>
            <w:tcW w:w="2950" w:type="dxa"/>
            <w:noWrap w:val="0"/>
            <w:vAlign w:val="center"/>
          </w:tcPr>
          <w:p w14:paraId="3AA00BE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17,428,434.09</w:t>
            </w:r>
          </w:p>
        </w:tc>
      </w:tr>
      <w:tr w14:paraId="34E49C74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3378" w:type="dxa"/>
            <w:noWrap w:val="0"/>
            <w:vAlign w:val="center"/>
          </w:tcPr>
          <w:p w14:paraId="25DAD8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32" w:firstLineChars="300"/>
              <w:rPr>
                <w:rFonts w:hint="eastAsia" w:ascii="宋体" w:hAnsi="宋体" w:eastAsia="仿宋_GB2312" w:cs="Times New Roman"/>
                <w:color w:val="auto"/>
                <w:szCs w:val="21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  <w:t>合计</w:t>
            </w:r>
          </w:p>
        </w:tc>
        <w:tc>
          <w:tcPr>
            <w:tcW w:w="2817" w:type="dxa"/>
            <w:noWrap w:val="0"/>
            <w:vAlign w:val="center"/>
          </w:tcPr>
          <w:p w14:paraId="0474B42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color w:val="auto"/>
                <w:sz w:val="22"/>
                <w:szCs w:val="22"/>
              </w:rPr>
              <w:t>109,363,114,362.59</w:t>
            </w:r>
          </w:p>
        </w:tc>
        <w:tc>
          <w:tcPr>
            <w:tcW w:w="2950" w:type="dxa"/>
            <w:noWrap w:val="0"/>
            <w:vAlign w:val="center"/>
          </w:tcPr>
          <w:p w14:paraId="486842F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color w:val="auto"/>
                <w:sz w:val="22"/>
                <w:szCs w:val="22"/>
              </w:rPr>
              <w:t>103,935,838,195.06</w:t>
            </w:r>
          </w:p>
        </w:tc>
      </w:tr>
    </w:tbl>
    <w:p w14:paraId="551E62FC">
      <w:pPr>
        <w:numPr>
          <w:ilvl w:val="0"/>
          <w:numId w:val="0"/>
        </w:numPr>
        <w:adjustRightInd w:val="0"/>
        <w:spacing w:before="120" w:beforeLines="50" w:after="120" w:afterLines="50" w:line="360" w:lineRule="exact"/>
        <w:ind w:firstLine="640" w:firstLineChars="200"/>
        <w:jc w:val="both"/>
        <w:outlineLvl w:val="1"/>
        <w:rPr>
          <w:rFonts w:hint="eastAsia" w:ascii="宋体" w:hAnsi="宋体" w:eastAsia="仿宋_GB2312" w:cs="Times New Roman"/>
          <w:b/>
          <w:bCs/>
          <w:color w:val="auto"/>
          <w:lang w:val="en-US" w:eastAsia="zh-CN"/>
        </w:rPr>
      </w:pPr>
      <w:r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其中：固定资产情况</w:t>
      </w:r>
    </w:p>
    <w:tbl>
      <w:tblPr>
        <w:tblStyle w:val="14"/>
        <w:tblpPr w:leftFromText="180" w:rightFromText="180" w:vertAnchor="text" w:horzAnchor="page" w:tblpX="1576" w:tblpY="501"/>
        <w:tblOverlap w:val="never"/>
        <w:tblW w:w="4998" w:type="pct"/>
        <w:tblInd w:w="0" w:type="dxa"/>
        <w:tblBorders>
          <w:top w:val="double" w:color="auto" w:sz="4" w:space="0"/>
          <w:left w:val="none" w:color="auto" w:sz="0" w:space="0"/>
          <w:bottom w:val="double" w:color="auto" w:sz="4" w:space="0"/>
          <w:right w:val="none" w:color="auto" w:sz="0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2"/>
        <w:gridCol w:w="2823"/>
        <w:gridCol w:w="2752"/>
      </w:tblGrid>
      <w:tr w14:paraId="3A0D5318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1922" w:type="pct"/>
            <w:noWrap w:val="0"/>
            <w:vAlign w:val="center"/>
          </w:tcPr>
          <w:p w14:paraId="29D866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固定资产类别</w:t>
            </w:r>
          </w:p>
        </w:tc>
        <w:tc>
          <w:tcPr>
            <w:tcW w:w="1558" w:type="pct"/>
            <w:noWrap w:val="0"/>
            <w:vAlign w:val="center"/>
          </w:tcPr>
          <w:p w14:paraId="09767A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 w:val="21"/>
                <w:szCs w:val="21"/>
              </w:rPr>
              <w:t>年初</w:t>
            </w: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账面价值</w:t>
            </w:r>
          </w:p>
        </w:tc>
        <w:tc>
          <w:tcPr>
            <w:tcW w:w="1519" w:type="pct"/>
            <w:noWrap w:val="0"/>
            <w:vAlign w:val="center"/>
          </w:tcPr>
          <w:p w14:paraId="110E82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 w:val="21"/>
                <w:szCs w:val="21"/>
              </w:rPr>
              <w:t>年末</w:t>
            </w: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账面价值</w:t>
            </w:r>
          </w:p>
        </w:tc>
      </w:tr>
      <w:tr w14:paraId="00CF3560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1922" w:type="pct"/>
            <w:noWrap w:val="0"/>
            <w:vAlign w:val="center"/>
          </w:tcPr>
          <w:p w14:paraId="572035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 w:firstLine="510" w:firstLineChars="300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1"/>
                <w:szCs w:val="21"/>
                <w:lang w:val="en-US" w:eastAsia="zh-CN" w:bidi="ar"/>
              </w:rPr>
              <w:t>房屋及建筑物</w:t>
            </w:r>
          </w:p>
        </w:tc>
        <w:tc>
          <w:tcPr>
            <w:tcW w:w="1558" w:type="pct"/>
            <w:noWrap w:val="0"/>
            <w:vAlign w:val="center"/>
          </w:tcPr>
          <w:p w14:paraId="23B3942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15,135,621,352.32</w:t>
            </w:r>
          </w:p>
        </w:tc>
        <w:tc>
          <w:tcPr>
            <w:tcW w:w="1519" w:type="pct"/>
            <w:noWrap w:val="0"/>
            <w:vAlign w:val="center"/>
          </w:tcPr>
          <w:p w14:paraId="6D3B51E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15,401,831,316.44</w:t>
            </w:r>
          </w:p>
        </w:tc>
      </w:tr>
      <w:tr w14:paraId="63842DA5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1922" w:type="pct"/>
            <w:noWrap w:val="0"/>
            <w:vAlign w:val="center"/>
          </w:tcPr>
          <w:p w14:paraId="00E25D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 w:firstLine="510" w:firstLineChars="300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1"/>
                <w:szCs w:val="21"/>
                <w:lang w:val="en-US" w:eastAsia="zh-CN" w:bidi="ar"/>
              </w:rPr>
              <w:t>港务设施</w:t>
            </w:r>
          </w:p>
        </w:tc>
        <w:tc>
          <w:tcPr>
            <w:tcW w:w="1558" w:type="pct"/>
            <w:noWrap w:val="0"/>
            <w:vAlign w:val="center"/>
          </w:tcPr>
          <w:p w14:paraId="2158FA4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46,081,773,945.77</w:t>
            </w:r>
          </w:p>
        </w:tc>
        <w:tc>
          <w:tcPr>
            <w:tcW w:w="1519" w:type="pct"/>
            <w:noWrap w:val="0"/>
            <w:vAlign w:val="center"/>
          </w:tcPr>
          <w:p w14:paraId="29B4BA3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48,026,073,946.44</w:t>
            </w:r>
          </w:p>
        </w:tc>
      </w:tr>
      <w:tr w14:paraId="70A23902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1922" w:type="pct"/>
            <w:noWrap w:val="0"/>
            <w:vAlign w:val="center"/>
          </w:tcPr>
          <w:p w14:paraId="7DBAAA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 w:firstLine="510" w:firstLineChars="300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1"/>
                <w:szCs w:val="21"/>
                <w:lang w:val="en-US" w:eastAsia="zh-CN" w:bidi="ar"/>
              </w:rPr>
              <w:t>库场设施</w:t>
            </w:r>
          </w:p>
        </w:tc>
        <w:tc>
          <w:tcPr>
            <w:tcW w:w="1558" w:type="pct"/>
            <w:noWrap w:val="0"/>
            <w:vAlign w:val="center"/>
          </w:tcPr>
          <w:p w14:paraId="342DD96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25,266,859,960.65</w:t>
            </w:r>
          </w:p>
        </w:tc>
        <w:tc>
          <w:tcPr>
            <w:tcW w:w="1519" w:type="pct"/>
            <w:noWrap w:val="0"/>
            <w:vAlign w:val="center"/>
          </w:tcPr>
          <w:p w14:paraId="3592C09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26,429,339,804.63</w:t>
            </w:r>
          </w:p>
        </w:tc>
      </w:tr>
      <w:tr w14:paraId="14C27EDE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tblHeader/>
        </w:trPr>
        <w:tc>
          <w:tcPr>
            <w:tcW w:w="1922" w:type="pct"/>
            <w:noWrap w:val="0"/>
            <w:vAlign w:val="center"/>
          </w:tcPr>
          <w:p w14:paraId="53CEDE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 w:firstLine="510" w:firstLineChars="300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1"/>
                <w:szCs w:val="21"/>
                <w:lang w:val="en-US" w:eastAsia="zh-CN" w:bidi="ar"/>
              </w:rPr>
              <w:t>装卸机器设备</w:t>
            </w:r>
          </w:p>
        </w:tc>
        <w:tc>
          <w:tcPr>
            <w:tcW w:w="1558" w:type="pct"/>
            <w:noWrap w:val="0"/>
            <w:vAlign w:val="center"/>
          </w:tcPr>
          <w:p w14:paraId="6039F80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9,370,020,537.06</w:t>
            </w:r>
          </w:p>
        </w:tc>
        <w:tc>
          <w:tcPr>
            <w:tcW w:w="1519" w:type="pct"/>
            <w:noWrap w:val="0"/>
            <w:vAlign w:val="center"/>
          </w:tcPr>
          <w:p w14:paraId="2EF7239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10,532,599,232.43</w:t>
            </w:r>
          </w:p>
        </w:tc>
      </w:tr>
      <w:tr w14:paraId="21B2DB82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1922" w:type="pct"/>
            <w:noWrap w:val="0"/>
            <w:vAlign w:val="center"/>
          </w:tcPr>
          <w:p w14:paraId="54F575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 w:firstLine="510" w:firstLineChars="300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1"/>
                <w:szCs w:val="21"/>
                <w:lang w:val="en-US" w:eastAsia="zh-CN" w:bidi="ar"/>
              </w:rPr>
              <w:t>船舶</w:t>
            </w:r>
          </w:p>
        </w:tc>
        <w:tc>
          <w:tcPr>
            <w:tcW w:w="1558" w:type="pct"/>
            <w:noWrap w:val="0"/>
            <w:vAlign w:val="center"/>
          </w:tcPr>
          <w:p w14:paraId="55BE40E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3,531,781,957.79</w:t>
            </w:r>
          </w:p>
        </w:tc>
        <w:tc>
          <w:tcPr>
            <w:tcW w:w="1519" w:type="pct"/>
            <w:noWrap w:val="0"/>
            <w:vAlign w:val="center"/>
          </w:tcPr>
          <w:p w14:paraId="7DA4001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4,015,412,129.84</w:t>
            </w:r>
          </w:p>
        </w:tc>
      </w:tr>
      <w:tr w14:paraId="6340D727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1922" w:type="pct"/>
            <w:noWrap w:val="0"/>
            <w:vAlign w:val="center"/>
          </w:tcPr>
          <w:p w14:paraId="0BF4CC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 w:firstLine="510" w:firstLineChars="300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1"/>
                <w:szCs w:val="21"/>
                <w:lang w:val="en-US" w:eastAsia="zh-CN" w:bidi="ar"/>
              </w:rPr>
              <w:t>集装箱</w:t>
            </w:r>
          </w:p>
        </w:tc>
        <w:tc>
          <w:tcPr>
            <w:tcW w:w="1558" w:type="pct"/>
            <w:noWrap w:val="0"/>
            <w:vAlign w:val="center"/>
          </w:tcPr>
          <w:p w14:paraId="1D577C0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237,005,587.52</w:t>
            </w:r>
          </w:p>
        </w:tc>
        <w:tc>
          <w:tcPr>
            <w:tcW w:w="1519" w:type="pct"/>
            <w:noWrap w:val="0"/>
            <w:vAlign w:val="center"/>
          </w:tcPr>
          <w:p w14:paraId="335DEF2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261,755,973.77</w:t>
            </w:r>
          </w:p>
        </w:tc>
      </w:tr>
      <w:tr w14:paraId="233FFFB4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1922" w:type="pct"/>
            <w:noWrap w:val="0"/>
            <w:vAlign w:val="center"/>
          </w:tcPr>
          <w:p w14:paraId="1EF18A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 w:firstLine="510" w:firstLineChars="300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1"/>
                <w:szCs w:val="21"/>
                <w:lang w:val="en-US" w:eastAsia="zh-CN" w:bidi="ar"/>
              </w:rPr>
              <w:t>信息化设备</w:t>
            </w:r>
          </w:p>
        </w:tc>
        <w:tc>
          <w:tcPr>
            <w:tcW w:w="1558" w:type="pct"/>
            <w:noWrap w:val="0"/>
            <w:vAlign w:val="center"/>
          </w:tcPr>
          <w:p w14:paraId="24B9422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861,385,743.31</w:t>
            </w:r>
          </w:p>
        </w:tc>
        <w:tc>
          <w:tcPr>
            <w:tcW w:w="1519" w:type="pct"/>
            <w:noWrap w:val="0"/>
            <w:vAlign w:val="center"/>
          </w:tcPr>
          <w:p w14:paraId="4F47019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969,946,787.97</w:t>
            </w:r>
          </w:p>
        </w:tc>
      </w:tr>
      <w:tr w14:paraId="6DC92DD3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1922" w:type="pct"/>
            <w:noWrap w:val="0"/>
            <w:vAlign w:val="center"/>
          </w:tcPr>
          <w:p w14:paraId="264D3E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 w:firstLine="510" w:firstLineChars="300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1"/>
                <w:szCs w:val="21"/>
                <w:lang w:val="en-US" w:eastAsia="zh-CN" w:bidi="ar"/>
              </w:rPr>
              <w:t>运输工具</w:t>
            </w:r>
          </w:p>
        </w:tc>
        <w:tc>
          <w:tcPr>
            <w:tcW w:w="1558" w:type="pct"/>
            <w:noWrap w:val="0"/>
            <w:vAlign w:val="center"/>
          </w:tcPr>
          <w:p w14:paraId="3415B51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456,628,962.66</w:t>
            </w:r>
          </w:p>
        </w:tc>
        <w:tc>
          <w:tcPr>
            <w:tcW w:w="1519" w:type="pct"/>
            <w:noWrap w:val="0"/>
            <w:vAlign w:val="center"/>
          </w:tcPr>
          <w:p w14:paraId="27B7D41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590,523,355.02</w:t>
            </w:r>
          </w:p>
        </w:tc>
      </w:tr>
      <w:tr w14:paraId="291996B8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1922" w:type="pct"/>
            <w:noWrap w:val="0"/>
            <w:vAlign w:val="center"/>
          </w:tcPr>
          <w:p w14:paraId="3352A4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 w:firstLine="510" w:firstLineChars="300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1"/>
                <w:szCs w:val="21"/>
                <w:lang w:val="en-US" w:eastAsia="zh-CN" w:bidi="ar"/>
              </w:rPr>
              <w:t>辅助机器设备</w:t>
            </w:r>
          </w:p>
        </w:tc>
        <w:tc>
          <w:tcPr>
            <w:tcW w:w="1558" w:type="pct"/>
            <w:noWrap w:val="0"/>
            <w:vAlign w:val="center"/>
          </w:tcPr>
          <w:p w14:paraId="7564ED7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2,685,513,973.31</w:t>
            </w:r>
          </w:p>
        </w:tc>
        <w:tc>
          <w:tcPr>
            <w:tcW w:w="1519" w:type="pct"/>
            <w:noWrap w:val="0"/>
            <w:vAlign w:val="center"/>
          </w:tcPr>
          <w:p w14:paraId="2542F15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2,882,929,421.20</w:t>
            </w:r>
          </w:p>
        </w:tc>
      </w:tr>
      <w:tr w14:paraId="35532278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1922" w:type="pct"/>
            <w:noWrap w:val="0"/>
            <w:vAlign w:val="center"/>
          </w:tcPr>
          <w:p w14:paraId="3CBE43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 w:firstLine="510" w:firstLineChars="300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1"/>
                <w:szCs w:val="21"/>
                <w:lang w:val="en-US" w:eastAsia="zh-CN" w:bidi="ar"/>
              </w:rPr>
              <w:t>办公设备</w:t>
            </w:r>
          </w:p>
        </w:tc>
        <w:tc>
          <w:tcPr>
            <w:tcW w:w="1558" w:type="pct"/>
            <w:noWrap w:val="0"/>
            <w:vAlign w:val="center"/>
          </w:tcPr>
          <w:p w14:paraId="15D3FAA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222,597,557.98</w:t>
            </w:r>
          </w:p>
        </w:tc>
        <w:tc>
          <w:tcPr>
            <w:tcW w:w="1519" w:type="pct"/>
            <w:noWrap w:val="0"/>
            <w:vAlign w:val="center"/>
          </w:tcPr>
          <w:p w14:paraId="6AC5943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223,670,709.13</w:t>
            </w:r>
          </w:p>
        </w:tc>
      </w:tr>
      <w:tr w14:paraId="7C46B733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1922" w:type="pct"/>
            <w:noWrap w:val="0"/>
            <w:vAlign w:val="center"/>
          </w:tcPr>
          <w:p w14:paraId="3877E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 w:firstLine="510" w:firstLineChars="300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kern w:val="0"/>
                <w:sz w:val="21"/>
                <w:szCs w:val="21"/>
                <w:lang w:val="en-US" w:eastAsia="zh-CN" w:bidi="ar"/>
              </w:rPr>
              <w:t>其他</w:t>
            </w:r>
          </w:p>
        </w:tc>
        <w:tc>
          <w:tcPr>
            <w:tcW w:w="1558" w:type="pct"/>
            <w:noWrap w:val="0"/>
            <w:vAlign w:val="center"/>
          </w:tcPr>
          <w:p w14:paraId="3F76CF7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69,220,182.60</w:t>
            </w:r>
          </w:p>
        </w:tc>
        <w:tc>
          <w:tcPr>
            <w:tcW w:w="1519" w:type="pct"/>
            <w:noWrap w:val="0"/>
            <w:vAlign w:val="center"/>
          </w:tcPr>
          <w:p w14:paraId="7F199E0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16,225,791.15</w:t>
            </w:r>
          </w:p>
        </w:tc>
      </w:tr>
      <w:tr w14:paraId="1F36DF18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1922" w:type="pct"/>
            <w:noWrap w:val="0"/>
            <w:vAlign w:val="center"/>
          </w:tcPr>
          <w:p w14:paraId="376672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 w:firstLine="512" w:firstLineChars="300"/>
              <w:jc w:val="both"/>
              <w:rPr>
                <w:rFonts w:hint="default" w:ascii="仿宋_GB2312" w:hAnsi="仿宋_GB2312" w:eastAsia="仿宋_GB2312" w:cs="仿宋_GB2312"/>
                <w:color w:val="auto"/>
                <w:spacing w:val="-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20"/>
                <w:kern w:val="0"/>
                <w:sz w:val="21"/>
                <w:szCs w:val="21"/>
                <w:lang w:val="en-US" w:eastAsia="zh-CN" w:bidi="ar"/>
              </w:rPr>
              <w:t>合计</w:t>
            </w:r>
          </w:p>
        </w:tc>
        <w:tc>
          <w:tcPr>
            <w:tcW w:w="1558" w:type="pct"/>
            <w:noWrap w:val="0"/>
            <w:vAlign w:val="center"/>
          </w:tcPr>
          <w:p w14:paraId="5814CA5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2"/>
                <w:szCs w:val="22"/>
              </w:rPr>
              <w:t>103,918,409,760.97</w:t>
            </w:r>
          </w:p>
        </w:tc>
        <w:tc>
          <w:tcPr>
            <w:tcW w:w="1519" w:type="pct"/>
            <w:noWrap w:val="0"/>
            <w:vAlign w:val="center"/>
          </w:tcPr>
          <w:p w14:paraId="12641E4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2"/>
                <w:szCs w:val="22"/>
              </w:rPr>
              <w:t>109,350,308,468.02</w:t>
            </w:r>
          </w:p>
        </w:tc>
      </w:tr>
    </w:tbl>
    <w:p w14:paraId="1A1996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p w14:paraId="6CD5EC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（4）在建工程</w:t>
      </w:r>
    </w:p>
    <w:tbl>
      <w:tblPr>
        <w:tblStyle w:val="14"/>
        <w:tblW w:w="9145" w:type="dxa"/>
        <w:tblInd w:w="0" w:type="dxa"/>
        <w:tblBorders>
          <w:top w:val="double" w:color="auto" w:sz="4" w:space="0"/>
          <w:left w:val="none" w:color="auto" w:sz="0" w:space="0"/>
          <w:bottom w:val="double" w:color="auto" w:sz="4" w:space="0"/>
          <w:right w:val="none" w:color="auto" w:sz="0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8"/>
        <w:gridCol w:w="2817"/>
        <w:gridCol w:w="2950"/>
      </w:tblGrid>
      <w:tr w14:paraId="3DD510AB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3378" w:type="dxa"/>
            <w:noWrap w:val="0"/>
            <w:vAlign w:val="center"/>
          </w:tcPr>
          <w:p w14:paraId="11EF8A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仿宋_GB2312" w:cs="宋体"/>
                <w:b/>
                <w:bCs/>
                <w:color w:val="auto"/>
                <w:sz w:val="21"/>
                <w:szCs w:val="21"/>
                <w:highlight w:val="none"/>
              </w:rPr>
              <w:t>项目</w:t>
            </w:r>
          </w:p>
        </w:tc>
        <w:tc>
          <w:tcPr>
            <w:tcW w:w="2817" w:type="dxa"/>
            <w:noWrap w:val="0"/>
            <w:vAlign w:val="center"/>
          </w:tcPr>
          <w:p w14:paraId="4DFF7A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仿宋_GB2312" w:cs="宋体"/>
                <w:b/>
                <w:bCs/>
                <w:color w:val="auto"/>
                <w:sz w:val="21"/>
                <w:szCs w:val="21"/>
              </w:rPr>
              <w:t>年末账面价值</w:t>
            </w:r>
          </w:p>
        </w:tc>
        <w:tc>
          <w:tcPr>
            <w:tcW w:w="2950" w:type="dxa"/>
            <w:noWrap w:val="0"/>
            <w:vAlign w:val="center"/>
          </w:tcPr>
          <w:p w14:paraId="604385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仿宋_GB2312" w:cs="宋体"/>
                <w:b/>
                <w:bCs/>
                <w:color w:val="auto"/>
                <w:sz w:val="21"/>
                <w:szCs w:val="21"/>
              </w:rPr>
              <w:t>年初账面价值</w:t>
            </w:r>
          </w:p>
        </w:tc>
      </w:tr>
      <w:tr w14:paraId="280C3043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3378" w:type="dxa"/>
            <w:noWrap w:val="0"/>
            <w:vAlign w:val="center"/>
          </w:tcPr>
          <w:p w14:paraId="0DD09D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30" w:firstLineChars="300"/>
              <w:rPr>
                <w:rFonts w:hint="eastAsia" w:ascii="宋体" w:hAnsi="宋体" w:eastAsia="仿宋_GB2312" w:cs="Times New Roman"/>
                <w:color w:val="auto"/>
                <w:szCs w:val="21"/>
              </w:rPr>
            </w:pPr>
            <w:r>
              <w:rPr>
                <w:rFonts w:hint="eastAsia" w:ascii="宋体" w:hAnsi="宋体" w:eastAsia="仿宋_GB2312" w:cs="Times New Roman"/>
                <w:color w:val="auto"/>
                <w:szCs w:val="21"/>
                <w:lang w:val="en-US" w:eastAsia="zh-CN"/>
              </w:rPr>
              <w:t>在建工程</w:t>
            </w:r>
          </w:p>
        </w:tc>
        <w:tc>
          <w:tcPr>
            <w:tcW w:w="2817" w:type="dxa"/>
            <w:noWrap w:val="0"/>
            <w:vAlign w:val="center"/>
          </w:tcPr>
          <w:p w14:paraId="1A8A39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宋体" w:hAnsi="宋体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084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379.5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950" w:type="dxa"/>
            <w:noWrap w:val="0"/>
            <w:vAlign w:val="center"/>
          </w:tcPr>
          <w:p w14:paraId="6129C91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12,625,957,686.40</w:t>
            </w:r>
          </w:p>
        </w:tc>
      </w:tr>
      <w:tr w14:paraId="43ABCCC2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3378" w:type="dxa"/>
            <w:noWrap w:val="0"/>
            <w:vAlign w:val="center"/>
          </w:tcPr>
          <w:p w14:paraId="05ED01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30" w:firstLineChars="300"/>
              <w:rPr>
                <w:rFonts w:hint="eastAsia" w:ascii="宋体" w:hAnsi="宋体" w:eastAsia="仿宋_GB2312" w:cs="Times New Roman"/>
                <w:color w:val="auto"/>
                <w:szCs w:val="21"/>
              </w:rPr>
            </w:pPr>
            <w:r>
              <w:rPr>
                <w:rFonts w:hint="eastAsia" w:ascii="宋体" w:hAnsi="宋体" w:eastAsia="仿宋_GB2312" w:cs="Times New Roman"/>
                <w:color w:val="auto"/>
                <w:szCs w:val="21"/>
              </w:rPr>
              <w:t>工程物资</w:t>
            </w:r>
          </w:p>
        </w:tc>
        <w:tc>
          <w:tcPr>
            <w:tcW w:w="2817" w:type="dxa"/>
            <w:noWrap w:val="0"/>
            <w:vAlign w:val="center"/>
          </w:tcPr>
          <w:p w14:paraId="45FED81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lang w:bidi="ar"/>
              </w:rPr>
              <w:t>3,383,005.47</w:t>
            </w:r>
          </w:p>
        </w:tc>
        <w:tc>
          <w:tcPr>
            <w:tcW w:w="2950" w:type="dxa"/>
            <w:noWrap w:val="0"/>
            <w:vAlign w:val="center"/>
          </w:tcPr>
          <w:p w14:paraId="06B1773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3,418,574.00</w:t>
            </w:r>
          </w:p>
        </w:tc>
      </w:tr>
      <w:tr w14:paraId="068E855F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3378" w:type="dxa"/>
            <w:noWrap w:val="0"/>
            <w:vAlign w:val="center"/>
          </w:tcPr>
          <w:p w14:paraId="3411FA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632" w:firstLineChars="300"/>
              <w:rPr>
                <w:rFonts w:hint="eastAsia" w:ascii="宋体" w:hAnsi="宋体" w:eastAsia="仿宋_GB2312" w:cs="Times New Roman"/>
                <w:color w:val="auto"/>
                <w:szCs w:val="21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  <w:t>合计</w:t>
            </w:r>
          </w:p>
        </w:tc>
        <w:tc>
          <w:tcPr>
            <w:tcW w:w="2817" w:type="dxa"/>
            <w:noWrap w:val="0"/>
            <w:vAlign w:val="center"/>
          </w:tcPr>
          <w:p w14:paraId="2488F34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right"/>
              <w:textAlignment w:val="center"/>
              <w:rPr>
                <w:rFonts w:hint="eastAsia" w:ascii="宋体" w:hAnsi="宋体"/>
                <w:b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auto"/>
                <w:sz w:val="22"/>
                <w:szCs w:val="22"/>
                <w:lang w:bidi="ar"/>
              </w:rPr>
              <w:t>11,432,467,384.97</w:t>
            </w:r>
          </w:p>
        </w:tc>
        <w:tc>
          <w:tcPr>
            <w:tcW w:w="2950" w:type="dxa"/>
            <w:noWrap w:val="0"/>
            <w:vAlign w:val="center"/>
          </w:tcPr>
          <w:p w14:paraId="4A10B12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eastAsia" w:ascii="宋体" w:hAnsi="宋体"/>
                <w:b/>
                <w:color w:val="auto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b/>
                <w:color w:val="auto"/>
                <w:kern w:val="0"/>
                <w:sz w:val="22"/>
                <w:szCs w:val="22"/>
                <w:lang w:bidi="ar"/>
              </w:rPr>
              <w:t>12,629,376,260.40</w:t>
            </w:r>
          </w:p>
        </w:tc>
      </w:tr>
    </w:tbl>
    <w:p w14:paraId="317E3B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p w14:paraId="26587F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（5）无形资产</w:t>
      </w:r>
    </w:p>
    <w:tbl>
      <w:tblPr>
        <w:tblStyle w:val="14"/>
        <w:tblW w:w="4997" w:type="pct"/>
        <w:tblInd w:w="0" w:type="dxa"/>
        <w:tblBorders>
          <w:top w:val="double" w:color="auto" w:sz="4" w:space="0"/>
          <w:left w:val="none" w:color="auto" w:sz="0" w:space="0"/>
          <w:bottom w:val="double" w:color="auto" w:sz="4" w:space="0"/>
          <w:right w:val="none" w:color="auto" w:sz="0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67"/>
        <w:gridCol w:w="2620"/>
        <w:gridCol w:w="2769"/>
      </w:tblGrid>
      <w:tr w14:paraId="09E6B965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2024" w:type="pct"/>
            <w:noWrap w:val="0"/>
            <w:vAlign w:val="center"/>
          </w:tcPr>
          <w:p w14:paraId="3FDBDE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无形资产类别</w:t>
            </w:r>
          </w:p>
        </w:tc>
        <w:tc>
          <w:tcPr>
            <w:tcW w:w="1446" w:type="pct"/>
            <w:noWrap w:val="0"/>
            <w:vAlign w:val="center"/>
          </w:tcPr>
          <w:p w14:paraId="30EF63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仿宋_GB2312" w:cs="Times New Roman"/>
                <w:b/>
                <w:bCs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年初账面价值</w:t>
            </w:r>
          </w:p>
        </w:tc>
        <w:tc>
          <w:tcPr>
            <w:tcW w:w="1528" w:type="pct"/>
            <w:noWrap w:val="0"/>
            <w:vAlign w:val="center"/>
          </w:tcPr>
          <w:p w14:paraId="32EF9B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仿宋_GB2312" w:cs="Times New Roman"/>
                <w:b/>
                <w:bCs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年末账面价值</w:t>
            </w:r>
          </w:p>
        </w:tc>
      </w:tr>
      <w:tr w14:paraId="1FD75D70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2024" w:type="pct"/>
            <w:noWrap w:val="0"/>
            <w:vAlign w:val="center"/>
          </w:tcPr>
          <w:p w14:paraId="2DC21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630" w:firstLineChars="300"/>
              <w:jc w:val="both"/>
              <w:textAlignment w:val="center"/>
              <w:rPr>
                <w:rFonts w:hint="eastAsia" w:ascii="宋体" w:hAnsi="宋体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软件</w:t>
            </w:r>
          </w:p>
        </w:tc>
        <w:tc>
          <w:tcPr>
            <w:tcW w:w="1446" w:type="pct"/>
            <w:noWrap w:val="0"/>
            <w:vAlign w:val="center"/>
          </w:tcPr>
          <w:p w14:paraId="18EC8C5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default" w:ascii="宋体" w:hAnsi="宋体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543,186,796.18</w:t>
            </w:r>
          </w:p>
        </w:tc>
        <w:tc>
          <w:tcPr>
            <w:tcW w:w="1528" w:type="pct"/>
            <w:noWrap w:val="0"/>
            <w:vAlign w:val="center"/>
          </w:tcPr>
          <w:p w14:paraId="3961F9F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723,062,368.87</w:t>
            </w:r>
          </w:p>
        </w:tc>
      </w:tr>
      <w:tr w14:paraId="35423F7D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2024" w:type="pct"/>
            <w:noWrap w:val="0"/>
            <w:vAlign w:val="center"/>
          </w:tcPr>
          <w:p w14:paraId="60459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630" w:firstLineChars="300"/>
              <w:jc w:val="both"/>
              <w:textAlignment w:val="center"/>
              <w:rPr>
                <w:rFonts w:hint="eastAsia" w:ascii="宋体" w:hAnsi="宋体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土地使用权</w:t>
            </w:r>
          </w:p>
        </w:tc>
        <w:tc>
          <w:tcPr>
            <w:tcW w:w="1446" w:type="pct"/>
            <w:noWrap w:val="0"/>
            <w:vAlign w:val="center"/>
          </w:tcPr>
          <w:p w14:paraId="4606661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default" w:ascii="宋体" w:hAnsi="宋体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21,866,837,287.79</w:t>
            </w:r>
          </w:p>
        </w:tc>
        <w:tc>
          <w:tcPr>
            <w:tcW w:w="1528" w:type="pct"/>
            <w:noWrap w:val="0"/>
            <w:vAlign w:val="center"/>
          </w:tcPr>
          <w:p w14:paraId="4F3D9D72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22,568,836,614.44</w:t>
            </w:r>
          </w:p>
        </w:tc>
      </w:tr>
      <w:tr w14:paraId="37D0CDA7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2024" w:type="pct"/>
            <w:noWrap w:val="0"/>
            <w:vAlign w:val="center"/>
          </w:tcPr>
          <w:p w14:paraId="17B132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630" w:firstLineChars="300"/>
              <w:jc w:val="both"/>
              <w:textAlignment w:val="center"/>
              <w:rPr>
                <w:rFonts w:hint="eastAsia" w:ascii="宋体" w:hAnsi="宋体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海域使用权</w:t>
            </w:r>
          </w:p>
        </w:tc>
        <w:tc>
          <w:tcPr>
            <w:tcW w:w="1446" w:type="pct"/>
            <w:noWrap w:val="0"/>
            <w:vAlign w:val="center"/>
          </w:tcPr>
          <w:p w14:paraId="2DB3F4FD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default" w:ascii="宋体" w:hAnsi="宋体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1,842,185,941.72</w:t>
            </w:r>
          </w:p>
        </w:tc>
        <w:tc>
          <w:tcPr>
            <w:tcW w:w="1528" w:type="pct"/>
            <w:noWrap w:val="0"/>
            <w:vAlign w:val="center"/>
          </w:tcPr>
          <w:p w14:paraId="237ACABA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1,609,974,632.56</w:t>
            </w:r>
          </w:p>
        </w:tc>
      </w:tr>
      <w:tr w14:paraId="45AA506B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2024" w:type="pct"/>
            <w:noWrap w:val="0"/>
            <w:vAlign w:val="center"/>
          </w:tcPr>
          <w:p w14:paraId="2489FE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630" w:firstLineChars="300"/>
              <w:jc w:val="both"/>
              <w:textAlignment w:val="center"/>
              <w:rPr>
                <w:rFonts w:hint="eastAsia" w:ascii="宋体" w:hAnsi="宋体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职工住宅使用权</w:t>
            </w:r>
          </w:p>
        </w:tc>
        <w:tc>
          <w:tcPr>
            <w:tcW w:w="1446" w:type="pct"/>
            <w:noWrap w:val="0"/>
            <w:vAlign w:val="center"/>
          </w:tcPr>
          <w:p w14:paraId="1AF610E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default" w:ascii="宋体" w:hAnsi="宋体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3,294,182.95</w:t>
            </w:r>
          </w:p>
        </w:tc>
        <w:tc>
          <w:tcPr>
            <w:tcW w:w="1528" w:type="pct"/>
            <w:noWrap w:val="0"/>
            <w:vAlign w:val="center"/>
          </w:tcPr>
          <w:p w14:paraId="1A770FAC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3,035,927.71</w:t>
            </w:r>
          </w:p>
        </w:tc>
      </w:tr>
      <w:tr w14:paraId="01537A20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2024" w:type="pct"/>
            <w:noWrap w:val="0"/>
            <w:vAlign w:val="center"/>
          </w:tcPr>
          <w:p w14:paraId="43BE56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630" w:firstLineChars="300"/>
              <w:jc w:val="both"/>
              <w:textAlignment w:val="center"/>
              <w:rPr>
                <w:rFonts w:hint="eastAsia" w:ascii="宋体" w:hAnsi="宋体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专利权</w:t>
            </w:r>
          </w:p>
        </w:tc>
        <w:tc>
          <w:tcPr>
            <w:tcW w:w="1446" w:type="pct"/>
            <w:noWrap w:val="0"/>
            <w:vAlign w:val="center"/>
          </w:tcPr>
          <w:p w14:paraId="4DA4919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default" w:ascii="宋体" w:hAnsi="宋体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21,849,544.68</w:t>
            </w:r>
          </w:p>
        </w:tc>
        <w:tc>
          <w:tcPr>
            <w:tcW w:w="1528" w:type="pct"/>
            <w:noWrap w:val="0"/>
            <w:vAlign w:val="center"/>
          </w:tcPr>
          <w:p w14:paraId="5FD6BFD3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19,997,406.14</w:t>
            </w:r>
          </w:p>
        </w:tc>
      </w:tr>
      <w:tr w14:paraId="7FD9A554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2024" w:type="pct"/>
            <w:noWrap w:val="0"/>
            <w:vAlign w:val="center"/>
          </w:tcPr>
          <w:p w14:paraId="5A8F8E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630" w:firstLineChars="300"/>
              <w:jc w:val="both"/>
              <w:textAlignment w:val="center"/>
              <w:rPr>
                <w:rFonts w:hint="eastAsia" w:ascii="宋体" w:hAnsi="宋体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商标权</w:t>
            </w:r>
          </w:p>
        </w:tc>
        <w:tc>
          <w:tcPr>
            <w:tcW w:w="1446" w:type="pct"/>
            <w:noWrap w:val="0"/>
            <w:vAlign w:val="center"/>
          </w:tcPr>
          <w:p w14:paraId="3DCD916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default" w:ascii="宋体" w:hAnsi="宋体" w:eastAsia="宋体" w:cs="Times New Roman"/>
                <w:color w:val="auto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41,662.17</w:t>
            </w:r>
          </w:p>
        </w:tc>
        <w:tc>
          <w:tcPr>
            <w:tcW w:w="1528" w:type="pct"/>
            <w:noWrap w:val="0"/>
            <w:vAlign w:val="center"/>
          </w:tcPr>
          <w:p w14:paraId="18A9913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39,621.09</w:t>
            </w:r>
          </w:p>
        </w:tc>
      </w:tr>
      <w:tr w14:paraId="05DF2234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2024" w:type="pct"/>
            <w:noWrap w:val="0"/>
            <w:vAlign w:val="center"/>
          </w:tcPr>
          <w:p w14:paraId="35A1E0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630" w:firstLineChars="300"/>
              <w:jc w:val="both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数据资源</w:t>
            </w:r>
          </w:p>
        </w:tc>
        <w:tc>
          <w:tcPr>
            <w:tcW w:w="1446" w:type="pct"/>
            <w:noWrap w:val="0"/>
            <w:vAlign w:val="center"/>
          </w:tcPr>
          <w:p w14:paraId="07EB95D0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1,362,085.44</w:t>
            </w:r>
          </w:p>
        </w:tc>
        <w:tc>
          <w:tcPr>
            <w:tcW w:w="1528" w:type="pct"/>
            <w:noWrap w:val="0"/>
            <w:vAlign w:val="center"/>
          </w:tcPr>
          <w:p w14:paraId="68A425A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4,018,193.74</w:t>
            </w:r>
          </w:p>
        </w:tc>
      </w:tr>
      <w:tr w14:paraId="68BF655C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2024" w:type="pct"/>
            <w:noWrap w:val="0"/>
            <w:vAlign w:val="center"/>
          </w:tcPr>
          <w:p w14:paraId="332156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630" w:firstLineChars="300"/>
              <w:jc w:val="both"/>
              <w:textAlignment w:val="center"/>
              <w:rPr>
                <w:rFonts w:hint="eastAsia" w:ascii="宋体" w:hAnsi="宋体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  <w:tc>
          <w:tcPr>
            <w:tcW w:w="1446" w:type="pct"/>
            <w:noWrap w:val="0"/>
            <w:vAlign w:val="center"/>
          </w:tcPr>
          <w:p w14:paraId="7316F3F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default" w:ascii="宋体" w:hAnsi="宋体" w:eastAsia="宋体" w:cs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108,431,956.26</w:t>
            </w:r>
          </w:p>
        </w:tc>
        <w:tc>
          <w:tcPr>
            <w:tcW w:w="1528" w:type="pct"/>
            <w:noWrap w:val="0"/>
            <w:vAlign w:val="center"/>
          </w:tcPr>
          <w:p w14:paraId="2899FF5E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103,756,143.16</w:t>
            </w:r>
          </w:p>
        </w:tc>
      </w:tr>
      <w:tr w14:paraId="26604D17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2024" w:type="pct"/>
            <w:noWrap w:val="0"/>
            <w:vAlign w:val="center"/>
          </w:tcPr>
          <w:p w14:paraId="7C5B59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632" w:firstLineChars="300"/>
              <w:jc w:val="both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446" w:type="pct"/>
            <w:noWrap w:val="0"/>
            <w:vAlign w:val="center"/>
          </w:tcPr>
          <w:p w14:paraId="0B47D4CB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24,387,189,457.19</w:t>
            </w:r>
          </w:p>
        </w:tc>
        <w:tc>
          <w:tcPr>
            <w:tcW w:w="1528" w:type="pct"/>
            <w:noWrap w:val="0"/>
            <w:vAlign w:val="center"/>
          </w:tcPr>
          <w:p w14:paraId="5E040F87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25,032,720,907.71</w:t>
            </w:r>
          </w:p>
        </w:tc>
      </w:tr>
    </w:tbl>
    <w:p w14:paraId="12C841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788160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（6）短期借款</w:t>
      </w:r>
    </w:p>
    <w:tbl>
      <w:tblPr>
        <w:tblStyle w:val="14"/>
        <w:tblW w:w="0" w:type="auto"/>
        <w:tblInd w:w="0" w:type="dxa"/>
        <w:tblBorders>
          <w:top w:val="double" w:color="auto" w:sz="4" w:space="0"/>
          <w:left w:val="none" w:color="auto" w:sz="0" w:space="0"/>
          <w:bottom w:val="double" w:color="auto" w:sz="4" w:space="0"/>
          <w:right w:val="none" w:color="auto" w:sz="0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13" w:type="dxa"/>
          <w:bottom w:w="0" w:type="dxa"/>
          <w:right w:w="113" w:type="dxa"/>
        </w:tblCellMar>
      </w:tblPr>
      <w:tblGrid>
        <w:gridCol w:w="3174"/>
        <w:gridCol w:w="2892"/>
        <w:gridCol w:w="2981"/>
      </w:tblGrid>
      <w:tr w14:paraId="5724AA86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397" w:hRule="atLeast"/>
          <w:tblHeader/>
        </w:trPr>
        <w:tc>
          <w:tcPr>
            <w:tcW w:w="3174" w:type="dxa"/>
            <w:noWrap w:val="0"/>
            <w:vAlign w:val="center"/>
          </w:tcPr>
          <w:p w14:paraId="7FAD84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  <w:t>借款类别</w:t>
            </w:r>
          </w:p>
        </w:tc>
        <w:tc>
          <w:tcPr>
            <w:tcW w:w="2892" w:type="dxa"/>
            <w:noWrap w:val="0"/>
            <w:vAlign w:val="center"/>
          </w:tcPr>
          <w:p w14:paraId="7F6433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  <w:t>年末余额</w:t>
            </w:r>
          </w:p>
        </w:tc>
        <w:tc>
          <w:tcPr>
            <w:tcW w:w="2981" w:type="dxa"/>
            <w:noWrap w:val="0"/>
            <w:vAlign w:val="center"/>
          </w:tcPr>
          <w:p w14:paraId="2120B9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  <w:t>年初余额</w:t>
            </w:r>
          </w:p>
        </w:tc>
      </w:tr>
      <w:tr w14:paraId="43ADDB97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397" w:hRule="atLeast"/>
        </w:trPr>
        <w:tc>
          <w:tcPr>
            <w:tcW w:w="3174" w:type="dxa"/>
            <w:noWrap w:val="0"/>
            <w:vAlign w:val="center"/>
          </w:tcPr>
          <w:p w14:paraId="29F48B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仿宋_GB2312" w:cs="Times New Roman"/>
                <w:color w:val="auto"/>
                <w:szCs w:val="22"/>
              </w:rPr>
            </w:pPr>
            <w:r>
              <w:rPr>
                <w:rFonts w:hint="eastAsia" w:ascii="宋体" w:hAnsi="宋体" w:eastAsia="仿宋_GB2312" w:cs="Times New Roman"/>
                <w:color w:val="auto"/>
                <w:szCs w:val="22"/>
              </w:rPr>
              <w:t>信用借款</w:t>
            </w:r>
          </w:p>
        </w:tc>
        <w:tc>
          <w:tcPr>
            <w:tcW w:w="2892" w:type="dxa"/>
            <w:noWrap w:val="0"/>
            <w:vAlign w:val="center"/>
          </w:tcPr>
          <w:p w14:paraId="55D86E6A">
            <w:pPr>
              <w:pStyle w:val="29"/>
              <w:keepNext w:val="0"/>
              <w:keepLines w:val="0"/>
              <w:widowControl w:val="0"/>
              <w:suppressLineNumbers w:val="0"/>
              <w:pBdr>
                <w:bottom w:val="none" w:color="auto" w:sz="0" w:space="0"/>
              </w:pBdr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color w:val="auto"/>
                <w:kern w:val="2"/>
                <w:sz w:val="22"/>
                <w:szCs w:val="22"/>
              </w:rPr>
              <w:t>24,573,616,660.10</w:t>
            </w:r>
          </w:p>
        </w:tc>
        <w:tc>
          <w:tcPr>
            <w:tcW w:w="2981" w:type="dxa"/>
            <w:noWrap w:val="0"/>
            <w:vAlign w:val="center"/>
          </w:tcPr>
          <w:p w14:paraId="58CA0CE9">
            <w:pPr>
              <w:pStyle w:val="29"/>
              <w:keepNext w:val="0"/>
              <w:keepLines w:val="0"/>
              <w:widowControl w:val="0"/>
              <w:suppressLineNumbers w:val="0"/>
              <w:pBdr>
                <w:bottom w:val="none" w:color="auto" w:sz="0" w:space="0"/>
              </w:pBdr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color w:val="auto"/>
                <w:kern w:val="2"/>
                <w:sz w:val="22"/>
                <w:szCs w:val="22"/>
              </w:rPr>
              <w:t>19,996,810,984.83</w:t>
            </w:r>
          </w:p>
        </w:tc>
      </w:tr>
      <w:tr w14:paraId="286E6141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397" w:hRule="atLeast"/>
        </w:trPr>
        <w:tc>
          <w:tcPr>
            <w:tcW w:w="3174" w:type="dxa"/>
            <w:noWrap w:val="0"/>
            <w:vAlign w:val="center"/>
          </w:tcPr>
          <w:p w14:paraId="0BD7EB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仿宋_GB2312" w:cs="Times New Roman"/>
                <w:color w:val="auto"/>
                <w:szCs w:val="22"/>
              </w:rPr>
            </w:pPr>
            <w:r>
              <w:rPr>
                <w:rFonts w:hint="eastAsia" w:ascii="宋体" w:hAnsi="宋体" w:eastAsia="仿宋_GB2312" w:cs="Times New Roman"/>
                <w:color w:val="auto"/>
                <w:szCs w:val="22"/>
              </w:rPr>
              <w:t>质押借款</w:t>
            </w:r>
          </w:p>
        </w:tc>
        <w:tc>
          <w:tcPr>
            <w:tcW w:w="2892" w:type="dxa"/>
            <w:noWrap w:val="0"/>
            <w:vAlign w:val="center"/>
          </w:tcPr>
          <w:p w14:paraId="5066739F">
            <w:pPr>
              <w:pStyle w:val="29"/>
              <w:keepNext w:val="0"/>
              <w:keepLines w:val="0"/>
              <w:widowControl w:val="0"/>
              <w:suppressLineNumbers w:val="0"/>
              <w:pBdr>
                <w:bottom w:val="none" w:color="auto" w:sz="0" w:space="0"/>
              </w:pBdr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color w:val="auto"/>
                <w:kern w:val="2"/>
                <w:sz w:val="22"/>
                <w:szCs w:val="22"/>
              </w:rPr>
              <w:t>770,899,376.62</w:t>
            </w:r>
          </w:p>
        </w:tc>
        <w:tc>
          <w:tcPr>
            <w:tcW w:w="2981" w:type="dxa"/>
            <w:noWrap w:val="0"/>
            <w:vAlign w:val="center"/>
          </w:tcPr>
          <w:p w14:paraId="16A9D209">
            <w:pPr>
              <w:pStyle w:val="20"/>
              <w:keepNext w:val="0"/>
              <w:keepLines w:val="0"/>
              <w:widowControl w:val="0"/>
              <w:suppressLineNumbers w:val="0"/>
              <w:pBdr>
                <w:bottom w:val="none" w:color="auto" w:sz="0" w:space="0"/>
              </w:pBdr>
              <w:spacing w:before="0" w:beforeLines="0" w:beforeAutospacing="0" w:after="0" w:afterLines="0" w:afterAutospacing="0" w:line="360" w:lineRule="exact"/>
              <w:ind w:left="0" w:right="0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color w:val="auto"/>
                <w:kern w:val="2"/>
                <w:sz w:val="22"/>
                <w:szCs w:val="22"/>
              </w:rPr>
              <w:t>11,861,000.00</w:t>
            </w:r>
          </w:p>
        </w:tc>
      </w:tr>
      <w:tr w14:paraId="1A7FB857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397" w:hRule="atLeast"/>
        </w:trPr>
        <w:tc>
          <w:tcPr>
            <w:tcW w:w="3174" w:type="dxa"/>
            <w:noWrap w:val="0"/>
            <w:vAlign w:val="center"/>
          </w:tcPr>
          <w:p w14:paraId="5D5110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仿宋_GB2312" w:cs="Times New Roman"/>
                <w:color w:val="auto"/>
                <w:szCs w:val="22"/>
              </w:rPr>
            </w:pPr>
            <w:r>
              <w:rPr>
                <w:rFonts w:hint="eastAsia" w:ascii="宋体" w:hAnsi="宋体" w:eastAsia="仿宋_GB2312" w:cs="Times New Roman"/>
                <w:color w:val="auto"/>
                <w:szCs w:val="22"/>
              </w:rPr>
              <w:t>抵押借款</w:t>
            </w:r>
          </w:p>
        </w:tc>
        <w:tc>
          <w:tcPr>
            <w:tcW w:w="2892" w:type="dxa"/>
            <w:noWrap w:val="0"/>
            <w:vAlign w:val="center"/>
          </w:tcPr>
          <w:p w14:paraId="70011BDA">
            <w:pPr>
              <w:pStyle w:val="29"/>
              <w:keepNext w:val="0"/>
              <w:keepLines w:val="0"/>
              <w:widowControl w:val="0"/>
              <w:suppressLineNumbers w:val="0"/>
              <w:pBdr>
                <w:bottom w:val="none" w:color="auto" w:sz="0" w:space="0"/>
              </w:pBdr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color w:val="auto"/>
                <w:kern w:val="2"/>
                <w:sz w:val="22"/>
                <w:szCs w:val="22"/>
              </w:rPr>
              <w:t>94,049,685.56</w:t>
            </w:r>
          </w:p>
        </w:tc>
        <w:tc>
          <w:tcPr>
            <w:tcW w:w="2981" w:type="dxa"/>
            <w:noWrap w:val="0"/>
            <w:vAlign w:val="center"/>
          </w:tcPr>
          <w:p w14:paraId="2E951A0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60,001,188.89</w:t>
            </w:r>
          </w:p>
        </w:tc>
      </w:tr>
      <w:tr w14:paraId="2A347B1F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397" w:hRule="atLeast"/>
        </w:trPr>
        <w:tc>
          <w:tcPr>
            <w:tcW w:w="3174" w:type="dxa"/>
            <w:noWrap w:val="0"/>
            <w:vAlign w:val="center"/>
          </w:tcPr>
          <w:p w14:paraId="19D439E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b/>
                <w:color w:val="auto"/>
                <w:szCs w:val="22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2"/>
              </w:rPr>
              <w:t>合</w:t>
            </w: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2"/>
              </w:rPr>
              <w:t>计</w:t>
            </w:r>
          </w:p>
        </w:tc>
        <w:tc>
          <w:tcPr>
            <w:tcW w:w="2892" w:type="dxa"/>
            <w:noWrap w:val="0"/>
            <w:vAlign w:val="center"/>
          </w:tcPr>
          <w:p w14:paraId="509942E1">
            <w:pPr>
              <w:pStyle w:val="29"/>
              <w:keepNext w:val="0"/>
              <w:keepLines w:val="0"/>
              <w:widowControl w:val="0"/>
              <w:suppressLineNumbers w:val="0"/>
              <w:pBdr>
                <w:bottom w:val="none" w:color="auto" w:sz="0" w:space="0"/>
              </w:pBdr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default" w:ascii="宋体" w:hAnsi="宋体" w:eastAsia="宋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2"/>
                <w:sz w:val="22"/>
                <w:szCs w:val="22"/>
              </w:rPr>
              <w:t>25,438,565,722.28</w:t>
            </w:r>
          </w:p>
        </w:tc>
        <w:tc>
          <w:tcPr>
            <w:tcW w:w="2981" w:type="dxa"/>
            <w:noWrap w:val="0"/>
            <w:vAlign w:val="center"/>
          </w:tcPr>
          <w:p w14:paraId="35EB8950">
            <w:pPr>
              <w:pStyle w:val="20"/>
              <w:keepNext w:val="0"/>
              <w:keepLines w:val="0"/>
              <w:widowControl w:val="0"/>
              <w:suppressLineNumbers w:val="0"/>
              <w:pBdr>
                <w:bottom w:val="none" w:color="auto" w:sz="0" w:space="0"/>
              </w:pBdr>
              <w:spacing w:before="0" w:beforeLines="0" w:beforeAutospacing="0" w:after="0" w:afterLines="0" w:afterAutospacing="0" w:line="360" w:lineRule="exact"/>
              <w:ind w:left="0" w:right="0"/>
              <w:rPr>
                <w:rFonts w:hint="default" w:ascii="宋体" w:hAnsi="宋体" w:eastAsia="宋体" w:cs="Times New Roman"/>
                <w:b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2"/>
                <w:sz w:val="22"/>
                <w:szCs w:val="22"/>
              </w:rPr>
              <w:t>20,068,673,173.72</w:t>
            </w:r>
          </w:p>
        </w:tc>
      </w:tr>
    </w:tbl>
    <w:p w14:paraId="66D199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7936CC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（7）应付账款</w:t>
      </w:r>
    </w:p>
    <w:tbl>
      <w:tblPr>
        <w:tblStyle w:val="14"/>
        <w:tblW w:w="8992" w:type="dxa"/>
        <w:tblInd w:w="0" w:type="dxa"/>
        <w:tblBorders>
          <w:top w:val="double" w:color="auto" w:sz="4" w:space="0"/>
          <w:left w:val="none" w:color="auto" w:sz="0" w:space="0"/>
          <w:bottom w:val="doub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9"/>
        <w:gridCol w:w="2910"/>
        <w:gridCol w:w="2953"/>
      </w:tblGrid>
      <w:tr w14:paraId="469AFB24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3129" w:type="dxa"/>
            <w:noWrap w:val="0"/>
            <w:vAlign w:val="center"/>
          </w:tcPr>
          <w:p w14:paraId="1A6EC4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  <w:t>账龄</w:t>
            </w:r>
          </w:p>
        </w:tc>
        <w:tc>
          <w:tcPr>
            <w:tcW w:w="2910" w:type="dxa"/>
            <w:noWrap w:val="0"/>
            <w:vAlign w:val="center"/>
          </w:tcPr>
          <w:p w14:paraId="0F86C4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  <w:t>年末余额</w:t>
            </w:r>
          </w:p>
        </w:tc>
        <w:tc>
          <w:tcPr>
            <w:tcW w:w="2953" w:type="dxa"/>
            <w:noWrap w:val="0"/>
            <w:vAlign w:val="center"/>
          </w:tcPr>
          <w:p w14:paraId="19A26A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  <w:t>年初余额</w:t>
            </w:r>
          </w:p>
        </w:tc>
      </w:tr>
      <w:tr w14:paraId="1C3B6FBD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3129" w:type="dxa"/>
            <w:noWrap w:val="0"/>
            <w:vAlign w:val="center"/>
          </w:tcPr>
          <w:p w14:paraId="1E82BB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仿宋_GB2312" w:cs="Times New Roman"/>
                <w:color w:val="auto"/>
                <w:szCs w:val="22"/>
              </w:rPr>
            </w:pPr>
            <w:r>
              <w:rPr>
                <w:rFonts w:hint="eastAsia" w:ascii="宋体" w:hAnsi="宋体" w:eastAsia="仿宋_GB2312" w:cs="Times New Roman"/>
                <w:color w:val="auto"/>
                <w:szCs w:val="22"/>
              </w:rPr>
              <w:t>1年以内（含1年）</w:t>
            </w:r>
          </w:p>
        </w:tc>
        <w:tc>
          <w:tcPr>
            <w:tcW w:w="2910" w:type="dxa"/>
            <w:noWrap w:val="0"/>
            <w:vAlign w:val="center"/>
          </w:tcPr>
          <w:p w14:paraId="3586B73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12,444,909,414.65</w:t>
            </w:r>
          </w:p>
        </w:tc>
        <w:tc>
          <w:tcPr>
            <w:tcW w:w="2953" w:type="dxa"/>
            <w:noWrap w:val="0"/>
            <w:vAlign w:val="center"/>
          </w:tcPr>
          <w:p w14:paraId="42D4C2D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10,996,492,829.48</w:t>
            </w:r>
          </w:p>
        </w:tc>
      </w:tr>
      <w:tr w14:paraId="51C70C4E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tblHeader/>
        </w:trPr>
        <w:tc>
          <w:tcPr>
            <w:tcW w:w="3129" w:type="dxa"/>
            <w:noWrap w:val="0"/>
            <w:vAlign w:val="center"/>
          </w:tcPr>
          <w:p w14:paraId="4AB226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仿宋_GB2312" w:cs="Times New Roman"/>
                <w:color w:val="auto"/>
                <w:szCs w:val="22"/>
              </w:rPr>
            </w:pPr>
            <w:r>
              <w:rPr>
                <w:rFonts w:hint="eastAsia" w:ascii="宋体" w:hAnsi="宋体" w:eastAsia="仿宋_GB2312" w:cs="Times New Roman"/>
                <w:color w:val="auto"/>
                <w:szCs w:val="22"/>
              </w:rPr>
              <w:t>1-2年</w:t>
            </w:r>
          </w:p>
        </w:tc>
        <w:tc>
          <w:tcPr>
            <w:tcW w:w="2910" w:type="dxa"/>
            <w:noWrap w:val="0"/>
            <w:vAlign w:val="center"/>
          </w:tcPr>
          <w:p w14:paraId="55DC9F6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2,780,571,583.83</w:t>
            </w:r>
          </w:p>
        </w:tc>
        <w:tc>
          <w:tcPr>
            <w:tcW w:w="2953" w:type="dxa"/>
            <w:noWrap w:val="0"/>
            <w:vAlign w:val="center"/>
          </w:tcPr>
          <w:p w14:paraId="4A6C0DF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3,295,591,855.07</w:t>
            </w:r>
          </w:p>
        </w:tc>
      </w:tr>
      <w:tr w14:paraId="32C85EA6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3129" w:type="dxa"/>
            <w:noWrap w:val="0"/>
            <w:vAlign w:val="center"/>
          </w:tcPr>
          <w:p w14:paraId="366403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仿宋_GB2312" w:cs="Times New Roman"/>
                <w:color w:val="auto"/>
                <w:szCs w:val="22"/>
              </w:rPr>
            </w:pPr>
            <w:r>
              <w:rPr>
                <w:rFonts w:hint="eastAsia" w:ascii="宋体" w:hAnsi="宋体" w:eastAsia="仿宋_GB2312" w:cs="Times New Roman"/>
                <w:color w:val="auto"/>
                <w:szCs w:val="22"/>
              </w:rPr>
              <w:t>2-3年</w:t>
            </w:r>
          </w:p>
        </w:tc>
        <w:tc>
          <w:tcPr>
            <w:tcW w:w="2910" w:type="dxa"/>
            <w:noWrap w:val="0"/>
            <w:vAlign w:val="center"/>
          </w:tcPr>
          <w:p w14:paraId="616362F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497,094,942.57</w:t>
            </w:r>
          </w:p>
        </w:tc>
        <w:tc>
          <w:tcPr>
            <w:tcW w:w="2953" w:type="dxa"/>
            <w:noWrap w:val="0"/>
            <w:vAlign w:val="center"/>
          </w:tcPr>
          <w:p w14:paraId="1374845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1,579,033,609.88</w:t>
            </w:r>
          </w:p>
        </w:tc>
      </w:tr>
      <w:tr w14:paraId="19C9AB05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3129" w:type="dxa"/>
            <w:noWrap w:val="0"/>
            <w:vAlign w:val="center"/>
          </w:tcPr>
          <w:p w14:paraId="6DAFB2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仿宋_GB2312" w:cs="Times New Roman"/>
                <w:color w:val="auto"/>
                <w:szCs w:val="22"/>
              </w:rPr>
            </w:pPr>
            <w:r>
              <w:rPr>
                <w:rFonts w:hint="eastAsia" w:ascii="宋体" w:hAnsi="宋体" w:eastAsia="仿宋_GB2312" w:cs="Times New Roman"/>
                <w:color w:val="auto"/>
                <w:szCs w:val="22"/>
              </w:rPr>
              <w:t>3年以上</w:t>
            </w:r>
          </w:p>
        </w:tc>
        <w:tc>
          <w:tcPr>
            <w:tcW w:w="2910" w:type="dxa"/>
            <w:noWrap w:val="0"/>
            <w:vAlign w:val="center"/>
          </w:tcPr>
          <w:p w14:paraId="2822B47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1,745,381,782.22</w:t>
            </w:r>
          </w:p>
        </w:tc>
        <w:tc>
          <w:tcPr>
            <w:tcW w:w="2953" w:type="dxa"/>
            <w:noWrap w:val="0"/>
            <w:vAlign w:val="center"/>
          </w:tcPr>
          <w:p w14:paraId="360B271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636,434,887.28</w:t>
            </w:r>
          </w:p>
        </w:tc>
      </w:tr>
      <w:tr w14:paraId="062154C8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tblHeader/>
        </w:trPr>
        <w:tc>
          <w:tcPr>
            <w:tcW w:w="3129" w:type="dxa"/>
            <w:noWrap w:val="0"/>
            <w:vAlign w:val="center"/>
          </w:tcPr>
          <w:p w14:paraId="583335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Times New Roman"/>
                <w:color w:val="auto"/>
                <w:szCs w:val="22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2"/>
              </w:rPr>
              <w:t>合</w:t>
            </w: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2"/>
              </w:rPr>
              <w:t>计</w:t>
            </w:r>
          </w:p>
        </w:tc>
        <w:tc>
          <w:tcPr>
            <w:tcW w:w="2910" w:type="dxa"/>
            <w:noWrap w:val="0"/>
            <w:vAlign w:val="center"/>
          </w:tcPr>
          <w:p w14:paraId="0B69A9A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default" w:ascii="宋体" w:hAnsi="宋体" w:eastAsia="宋体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 w:val="22"/>
                <w:szCs w:val="22"/>
              </w:rPr>
              <w:t>17,467,957,723.27</w:t>
            </w:r>
          </w:p>
        </w:tc>
        <w:tc>
          <w:tcPr>
            <w:tcW w:w="2953" w:type="dxa"/>
            <w:noWrap w:val="0"/>
            <w:vAlign w:val="center"/>
          </w:tcPr>
          <w:p w14:paraId="14D96C4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default" w:ascii="宋体" w:hAnsi="宋体" w:eastAsia="宋体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 w:val="22"/>
                <w:szCs w:val="22"/>
              </w:rPr>
              <w:t>16,507,553,181.71</w:t>
            </w:r>
          </w:p>
        </w:tc>
      </w:tr>
    </w:tbl>
    <w:p w14:paraId="3890E9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7C1B0E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（8）长期借款</w:t>
      </w:r>
    </w:p>
    <w:tbl>
      <w:tblPr>
        <w:tblStyle w:val="14"/>
        <w:tblW w:w="5000" w:type="pct"/>
        <w:tblInd w:w="0" w:type="dxa"/>
        <w:tblBorders>
          <w:top w:val="double" w:color="auto" w:sz="4" w:space="0"/>
          <w:left w:val="none" w:color="auto" w:sz="0" w:space="0"/>
          <w:bottom w:val="double" w:color="auto" w:sz="4" w:space="0"/>
          <w:right w:val="none" w:color="auto" w:sz="0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13" w:type="dxa"/>
          <w:bottom w:w="0" w:type="dxa"/>
          <w:right w:w="113" w:type="dxa"/>
        </w:tblCellMar>
      </w:tblPr>
      <w:tblGrid>
        <w:gridCol w:w="2733"/>
        <w:gridCol w:w="2355"/>
        <w:gridCol w:w="2265"/>
        <w:gridCol w:w="1718"/>
      </w:tblGrid>
      <w:tr w14:paraId="20F2FC94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397" w:hRule="atLeast"/>
          <w:tblHeader/>
        </w:trPr>
        <w:tc>
          <w:tcPr>
            <w:tcW w:w="1506" w:type="pct"/>
            <w:noWrap w:val="0"/>
            <w:vAlign w:val="center"/>
          </w:tcPr>
          <w:p w14:paraId="09CB47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  <w:t>借款类别</w:t>
            </w:r>
          </w:p>
        </w:tc>
        <w:tc>
          <w:tcPr>
            <w:tcW w:w="1298" w:type="pct"/>
            <w:noWrap w:val="0"/>
            <w:vAlign w:val="center"/>
          </w:tcPr>
          <w:p w14:paraId="4EDE1D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  <w:t>年末余额</w:t>
            </w:r>
          </w:p>
        </w:tc>
        <w:tc>
          <w:tcPr>
            <w:tcW w:w="1248" w:type="pct"/>
            <w:noWrap w:val="0"/>
            <w:vAlign w:val="center"/>
          </w:tcPr>
          <w:p w14:paraId="1B63E8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  <w:t>年初余额</w:t>
            </w:r>
          </w:p>
        </w:tc>
        <w:tc>
          <w:tcPr>
            <w:tcW w:w="946" w:type="pct"/>
            <w:noWrap w:val="0"/>
            <w:vAlign w:val="center"/>
          </w:tcPr>
          <w:p w14:paraId="542259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  <w:t>年末利率区间（%）</w:t>
            </w:r>
          </w:p>
        </w:tc>
      </w:tr>
      <w:tr w14:paraId="470EC092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397" w:hRule="atLeast"/>
        </w:trPr>
        <w:tc>
          <w:tcPr>
            <w:tcW w:w="1506" w:type="pct"/>
            <w:noWrap w:val="0"/>
            <w:vAlign w:val="center"/>
          </w:tcPr>
          <w:p w14:paraId="5070E2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仿宋_GB2312" w:cs="Times New Roman"/>
                <w:color w:val="auto"/>
                <w:szCs w:val="22"/>
              </w:rPr>
            </w:pPr>
            <w:r>
              <w:rPr>
                <w:rFonts w:hint="eastAsia" w:ascii="宋体" w:hAnsi="宋体" w:eastAsia="仿宋_GB2312" w:cs="Times New Roman"/>
                <w:color w:val="auto"/>
                <w:szCs w:val="22"/>
              </w:rPr>
              <w:t>质押借款</w:t>
            </w:r>
          </w:p>
        </w:tc>
        <w:tc>
          <w:tcPr>
            <w:tcW w:w="2355" w:type="dxa"/>
            <w:noWrap w:val="0"/>
            <w:vAlign w:val="top"/>
          </w:tcPr>
          <w:p w14:paraId="24F02418">
            <w:pPr>
              <w:pStyle w:val="20"/>
              <w:keepNext w:val="0"/>
              <w:keepLines w:val="0"/>
              <w:widowControl w:val="0"/>
              <w:suppressLineNumbers w:val="0"/>
              <w:pBdr>
                <w:bottom w:val="none" w:color="auto" w:sz="0" w:space="0"/>
              </w:pBdr>
              <w:spacing w:before="0" w:beforeLines="0" w:beforeAutospacing="0" w:after="0" w:afterLines="0" w:afterAutospacing="0" w:line="360" w:lineRule="exact"/>
              <w:ind w:left="0" w:right="0"/>
              <w:rPr>
                <w:rFonts w:hint="default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2"/>
                <w:sz w:val="22"/>
                <w:szCs w:val="22"/>
              </w:rPr>
              <w:t>584,066,288.96</w:t>
            </w:r>
          </w:p>
        </w:tc>
        <w:tc>
          <w:tcPr>
            <w:tcW w:w="2265" w:type="dxa"/>
            <w:noWrap w:val="0"/>
            <w:vAlign w:val="center"/>
          </w:tcPr>
          <w:p w14:paraId="513FD062">
            <w:pPr>
              <w:pStyle w:val="20"/>
              <w:keepNext w:val="0"/>
              <w:keepLines w:val="0"/>
              <w:widowControl w:val="0"/>
              <w:suppressLineNumbers w:val="0"/>
              <w:pBdr>
                <w:bottom w:val="none" w:color="auto" w:sz="0" w:space="0"/>
              </w:pBdr>
              <w:spacing w:before="0" w:beforeLines="0" w:beforeAutospacing="0" w:after="0" w:afterLines="0" w:afterAutospacing="0" w:line="360" w:lineRule="exact"/>
              <w:ind w:left="0" w:right="0"/>
              <w:rPr>
                <w:rFonts w:hint="default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2"/>
                <w:sz w:val="22"/>
                <w:szCs w:val="22"/>
              </w:rPr>
              <w:t>491,042,392.29</w:t>
            </w:r>
          </w:p>
        </w:tc>
        <w:tc>
          <w:tcPr>
            <w:tcW w:w="1718" w:type="dxa"/>
            <w:noWrap w:val="0"/>
            <w:vAlign w:val="top"/>
          </w:tcPr>
          <w:p w14:paraId="21687345">
            <w:pPr>
              <w:pStyle w:val="20"/>
              <w:keepNext w:val="0"/>
              <w:keepLines w:val="0"/>
              <w:widowControl w:val="0"/>
              <w:suppressLineNumbers w:val="0"/>
              <w:pBdr>
                <w:bottom w:val="none" w:color="auto" w:sz="0" w:space="0"/>
              </w:pBdr>
              <w:spacing w:before="0" w:beforeLines="0" w:beforeAutospacing="0" w:after="0" w:afterLines="0" w:afterAutospacing="0" w:line="360" w:lineRule="exact"/>
              <w:ind w:left="0" w:right="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2"/>
                <w:sz w:val="22"/>
                <w:szCs w:val="22"/>
              </w:rPr>
              <w:t>2.2-3.8</w:t>
            </w:r>
          </w:p>
        </w:tc>
      </w:tr>
      <w:tr w14:paraId="2927AFC8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397" w:hRule="atLeast"/>
        </w:trPr>
        <w:tc>
          <w:tcPr>
            <w:tcW w:w="1506" w:type="pct"/>
            <w:noWrap w:val="0"/>
            <w:vAlign w:val="center"/>
          </w:tcPr>
          <w:p w14:paraId="57BF5D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仿宋_GB2312" w:cs="Times New Roman"/>
                <w:color w:val="auto"/>
                <w:szCs w:val="22"/>
              </w:rPr>
            </w:pPr>
            <w:r>
              <w:rPr>
                <w:rFonts w:hint="eastAsia" w:ascii="宋体" w:hAnsi="宋体" w:eastAsia="仿宋_GB2312" w:cs="Times New Roman"/>
                <w:color w:val="auto"/>
                <w:szCs w:val="22"/>
              </w:rPr>
              <w:t>抵押借款</w:t>
            </w:r>
          </w:p>
        </w:tc>
        <w:tc>
          <w:tcPr>
            <w:tcW w:w="2355" w:type="dxa"/>
            <w:noWrap w:val="0"/>
            <w:vAlign w:val="top"/>
          </w:tcPr>
          <w:p w14:paraId="332B575F">
            <w:pPr>
              <w:pStyle w:val="20"/>
              <w:keepNext w:val="0"/>
              <w:keepLines w:val="0"/>
              <w:widowControl w:val="0"/>
              <w:suppressLineNumbers w:val="0"/>
              <w:pBdr>
                <w:bottom w:val="none" w:color="auto" w:sz="0" w:space="0"/>
              </w:pBdr>
              <w:spacing w:before="0" w:beforeLines="0" w:beforeAutospacing="0" w:after="0" w:afterLines="0" w:afterAutospacing="0" w:line="360" w:lineRule="exact"/>
              <w:ind w:left="0" w:right="0"/>
              <w:rPr>
                <w:rFonts w:hint="default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2"/>
                <w:sz w:val="22"/>
                <w:szCs w:val="22"/>
              </w:rPr>
              <w:t>5,975,593,263.11</w:t>
            </w:r>
          </w:p>
        </w:tc>
        <w:tc>
          <w:tcPr>
            <w:tcW w:w="2265" w:type="dxa"/>
            <w:noWrap w:val="0"/>
            <w:vAlign w:val="center"/>
          </w:tcPr>
          <w:p w14:paraId="1A4E3D9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 w:val="22"/>
                <w:szCs w:val="22"/>
              </w:rPr>
              <w:t>5,597,351,342.29</w:t>
            </w:r>
          </w:p>
        </w:tc>
        <w:tc>
          <w:tcPr>
            <w:tcW w:w="1718" w:type="dxa"/>
            <w:noWrap w:val="0"/>
            <w:vAlign w:val="top"/>
          </w:tcPr>
          <w:p w14:paraId="353F8B26">
            <w:pPr>
              <w:pStyle w:val="20"/>
              <w:keepNext w:val="0"/>
              <w:keepLines w:val="0"/>
              <w:widowControl w:val="0"/>
              <w:suppressLineNumbers w:val="0"/>
              <w:pBdr>
                <w:bottom w:val="none" w:color="auto" w:sz="0" w:space="0"/>
              </w:pBdr>
              <w:spacing w:before="0" w:beforeLines="0" w:beforeAutospacing="0" w:after="0" w:afterLines="0" w:afterAutospacing="0" w:line="360" w:lineRule="exact"/>
              <w:ind w:left="0" w:right="0"/>
              <w:rPr>
                <w:rFonts w:hint="default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2"/>
                <w:sz w:val="22"/>
                <w:szCs w:val="22"/>
              </w:rPr>
              <w:t>2.33-3.8</w:t>
            </w:r>
          </w:p>
        </w:tc>
      </w:tr>
      <w:tr w14:paraId="784A5888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397" w:hRule="atLeast"/>
        </w:trPr>
        <w:tc>
          <w:tcPr>
            <w:tcW w:w="1506" w:type="pct"/>
            <w:noWrap w:val="0"/>
            <w:vAlign w:val="center"/>
          </w:tcPr>
          <w:p w14:paraId="3471D3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仿宋_GB2312" w:cs="Times New Roman"/>
                <w:color w:val="auto"/>
                <w:szCs w:val="22"/>
              </w:rPr>
            </w:pPr>
            <w:r>
              <w:rPr>
                <w:rFonts w:hint="eastAsia" w:ascii="宋体" w:hAnsi="宋体" w:eastAsia="仿宋_GB2312" w:cs="Times New Roman"/>
                <w:color w:val="auto"/>
                <w:szCs w:val="22"/>
              </w:rPr>
              <w:t>保证借款</w:t>
            </w:r>
          </w:p>
        </w:tc>
        <w:tc>
          <w:tcPr>
            <w:tcW w:w="2355" w:type="dxa"/>
            <w:noWrap w:val="0"/>
            <w:vAlign w:val="top"/>
          </w:tcPr>
          <w:p w14:paraId="235CD3B0">
            <w:pPr>
              <w:pStyle w:val="20"/>
              <w:keepNext w:val="0"/>
              <w:keepLines w:val="0"/>
              <w:widowControl w:val="0"/>
              <w:suppressLineNumbers w:val="0"/>
              <w:pBdr>
                <w:bottom w:val="none" w:color="auto" w:sz="0" w:space="0"/>
              </w:pBdr>
              <w:spacing w:before="0" w:beforeLines="0" w:beforeAutospacing="0" w:after="0" w:afterLines="0" w:afterAutospacing="0" w:line="360" w:lineRule="exact"/>
              <w:ind w:left="0" w:right="0"/>
              <w:rPr>
                <w:rFonts w:hint="default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2"/>
                <w:sz w:val="22"/>
                <w:szCs w:val="22"/>
              </w:rPr>
              <w:t>2,717,628,777.85</w:t>
            </w:r>
          </w:p>
        </w:tc>
        <w:tc>
          <w:tcPr>
            <w:tcW w:w="2265" w:type="dxa"/>
            <w:noWrap w:val="0"/>
            <w:vAlign w:val="center"/>
          </w:tcPr>
          <w:p w14:paraId="21581D0B">
            <w:pPr>
              <w:pStyle w:val="29"/>
              <w:keepNext w:val="0"/>
              <w:keepLines w:val="0"/>
              <w:widowControl w:val="0"/>
              <w:suppressLineNumbers w:val="0"/>
              <w:pBdr>
                <w:bottom w:val="none" w:color="auto" w:sz="0" w:space="0"/>
              </w:pBdr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2"/>
                <w:sz w:val="22"/>
                <w:szCs w:val="22"/>
              </w:rPr>
              <w:t>3,203,295,849.41</w:t>
            </w:r>
          </w:p>
        </w:tc>
        <w:tc>
          <w:tcPr>
            <w:tcW w:w="1718" w:type="dxa"/>
            <w:noWrap w:val="0"/>
            <w:vAlign w:val="top"/>
          </w:tcPr>
          <w:p w14:paraId="684D9AD0">
            <w:pPr>
              <w:pStyle w:val="20"/>
              <w:keepNext w:val="0"/>
              <w:keepLines w:val="0"/>
              <w:widowControl w:val="0"/>
              <w:suppressLineNumbers w:val="0"/>
              <w:pBdr>
                <w:bottom w:val="none" w:color="auto" w:sz="0" w:space="0"/>
              </w:pBdr>
              <w:spacing w:before="0" w:beforeLines="0" w:beforeAutospacing="0" w:after="0" w:afterLines="0" w:afterAutospacing="0" w:line="360" w:lineRule="exact"/>
              <w:ind w:left="0" w:right="0"/>
              <w:rPr>
                <w:rFonts w:hint="default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2"/>
                <w:sz w:val="22"/>
                <w:szCs w:val="22"/>
              </w:rPr>
              <w:t>2.4-3.0</w:t>
            </w:r>
          </w:p>
        </w:tc>
      </w:tr>
      <w:tr w14:paraId="4341633E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397" w:hRule="atLeast"/>
        </w:trPr>
        <w:tc>
          <w:tcPr>
            <w:tcW w:w="1506" w:type="pct"/>
            <w:noWrap w:val="0"/>
            <w:vAlign w:val="center"/>
          </w:tcPr>
          <w:p w14:paraId="363540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仿宋_GB2312" w:cs="Times New Roman"/>
                <w:color w:val="auto"/>
                <w:szCs w:val="22"/>
              </w:rPr>
            </w:pPr>
            <w:r>
              <w:rPr>
                <w:rFonts w:hint="eastAsia" w:ascii="宋体" w:hAnsi="宋体" w:eastAsia="仿宋_GB2312" w:cs="Times New Roman"/>
                <w:color w:val="auto"/>
                <w:szCs w:val="22"/>
              </w:rPr>
              <w:t>信用借款</w:t>
            </w:r>
          </w:p>
        </w:tc>
        <w:tc>
          <w:tcPr>
            <w:tcW w:w="2355" w:type="dxa"/>
            <w:noWrap w:val="0"/>
            <w:vAlign w:val="top"/>
          </w:tcPr>
          <w:p w14:paraId="1055C731">
            <w:pPr>
              <w:pStyle w:val="20"/>
              <w:keepNext w:val="0"/>
              <w:keepLines w:val="0"/>
              <w:widowControl w:val="0"/>
              <w:suppressLineNumbers w:val="0"/>
              <w:pBdr>
                <w:bottom w:val="none" w:color="auto" w:sz="0" w:space="0"/>
              </w:pBdr>
              <w:spacing w:before="0" w:beforeLines="0" w:beforeAutospacing="0" w:after="0" w:afterLines="0" w:afterAutospacing="0" w:line="360" w:lineRule="exact"/>
              <w:ind w:left="0" w:right="0"/>
              <w:rPr>
                <w:rFonts w:hint="default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2"/>
                <w:sz w:val="22"/>
                <w:szCs w:val="22"/>
              </w:rPr>
              <w:t>44,295,389,596.48</w:t>
            </w:r>
          </w:p>
        </w:tc>
        <w:tc>
          <w:tcPr>
            <w:tcW w:w="2265" w:type="dxa"/>
            <w:noWrap w:val="0"/>
            <w:vAlign w:val="center"/>
          </w:tcPr>
          <w:p w14:paraId="2F0F1F87">
            <w:pPr>
              <w:pStyle w:val="29"/>
              <w:keepNext w:val="0"/>
              <w:keepLines w:val="0"/>
              <w:widowControl w:val="0"/>
              <w:suppressLineNumbers w:val="0"/>
              <w:pBdr>
                <w:bottom w:val="none" w:color="auto" w:sz="0" w:space="0"/>
              </w:pBdr>
              <w:spacing w:before="0" w:beforeLines="0" w:beforeAutospacing="0" w:after="0" w:afterLines="0" w:afterAutospacing="0" w:line="360" w:lineRule="exact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2"/>
                <w:sz w:val="22"/>
                <w:szCs w:val="22"/>
              </w:rPr>
              <w:t>43,108,892,304.53</w:t>
            </w:r>
          </w:p>
        </w:tc>
        <w:tc>
          <w:tcPr>
            <w:tcW w:w="1718" w:type="dxa"/>
            <w:noWrap w:val="0"/>
            <w:vAlign w:val="top"/>
          </w:tcPr>
          <w:p w14:paraId="36319206">
            <w:pPr>
              <w:pStyle w:val="20"/>
              <w:keepNext w:val="0"/>
              <w:keepLines w:val="0"/>
              <w:widowControl w:val="0"/>
              <w:suppressLineNumbers w:val="0"/>
              <w:pBdr>
                <w:bottom w:val="none" w:color="auto" w:sz="0" w:space="0"/>
              </w:pBdr>
              <w:spacing w:before="0" w:beforeLines="0" w:beforeAutospacing="0" w:after="0" w:afterLines="0" w:afterAutospacing="0" w:line="360" w:lineRule="exact"/>
              <w:ind w:left="0" w:right="0"/>
              <w:rPr>
                <w:rFonts w:hint="default"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2"/>
                <w:sz w:val="22"/>
                <w:szCs w:val="22"/>
              </w:rPr>
              <w:t>1.8-3.645</w:t>
            </w:r>
          </w:p>
        </w:tc>
      </w:tr>
      <w:tr w14:paraId="0C02D5CD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397" w:hRule="atLeast"/>
        </w:trPr>
        <w:tc>
          <w:tcPr>
            <w:tcW w:w="1506" w:type="pct"/>
            <w:noWrap w:val="0"/>
            <w:vAlign w:val="center"/>
          </w:tcPr>
          <w:p w14:paraId="4069331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b/>
                <w:color w:val="auto"/>
                <w:szCs w:val="22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2"/>
              </w:rPr>
              <w:t>合</w:t>
            </w: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2"/>
              </w:rPr>
              <w:t>计</w:t>
            </w:r>
          </w:p>
        </w:tc>
        <w:tc>
          <w:tcPr>
            <w:tcW w:w="2355" w:type="dxa"/>
            <w:noWrap w:val="0"/>
            <w:vAlign w:val="center"/>
          </w:tcPr>
          <w:p w14:paraId="41321F98">
            <w:pPr>
              <w:pStyle w:val="20"/>
              <w:keepNext w:val="0"/>
              <w:keepLines w:val="0"/>
              <w:widowControl w:val="0"/>
              <w:suppressLineNumbers w:val="0"/>
              <w:pBdr>
                <w:bottom w:val="none" w:color="auto" w:sz="0" w:space="0"/>
              </w:pBdr>
              <w:spacing w:before="0" w:beforeLines="0" w:beforeAutospacing="0" w:after="0" w:afterLines="0" w:afterAutospacing="0" w:line="360" w:lineRule="exact"/>
              <w:ind w:left="0" w:right="0"/>
              <w:rPr>
                <w:rFonts w:hint="default" w:ascii="宋体" w:hAnsi="宋体" w:eastAsia="宋体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2"/>
                <w:sz w:val="22"/>
                <w:szCs w:val="22"/>
              </w:rPr>
              <w:t>53,572,677,926.40</w:t>
            </w:r>
          </w:p>
        </w:tc>
        <w:tc>
          <w:tcPr>
            <w:tcW w:w="2265" w:type="dxa"/>
            <w:noWrap w:val="0"/>
            <w:vAlign w:val="center"/>
          </w:tcPr>
          <w:p w14:paraId="43735A32">
            <w:pPr>
              <w:pStyle w:val="20"/>
              <w:keepNext w:val="0"/>
              <w:keepLines w:val="0"/>
              <w:widowControl w:val="0"/>
              <w:suppressLineNumbers w:val="0"/>
              <w:pBdr>
                <w:bottom w:val="none" w:color="auto" w:sz="0" w:space="0"/>
              </w:pBdr>
              <w:spacing w:before="0" w:beforeLines="0" w:beforeAutospacing="0" w:after="0" w:afterLines="0" w:afterAutospacing="0" w:line="360" w:lineRule="exact"/>
              <w:ind w:left="0" w:right="0"/>
              <w:rPr>
                <w:rFonts w:hint="default" w:ascii="宋体" w:hAnsi="宋体" w:eastAsia="宋体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2"/>
                <w:sz w:val="22"/>
                <w:szCs w:val="22"/>
              </w:rPr>
              <w:t>52,400,581,888.52</w:t>
            </w:r>
          </w:p>
        </w:tc>
        <w:tc>
          <w:tcPr>
            <w:tcW w:w="1718" w:type="dxa"/>
            <w:noWrap w:val="0"/>
            <w:vAlign w:val="center"/>
          </w:tcPr>
          <w:p w14:paraId="7132CD3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60" w:lineRule="exact"/>
              <w:ind w:left="0" w:right="0"/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 w:val="22"/>
                <w:szCs w:val="22"/>
              </w:rPr>
              <w:t>——</w:t>
            </w:r>
          </w:p>
        </w:tc>
      </w:tr>
    </w:tbl>
    <w:p w14:paraId="274C20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6F4397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（9）应付债券</w:t>
      </w:r>
    </w:p>
    <w:tbl>
      <w:tblPr>
        <w:tblStyle w:val="14"/>
        <w:tblW w:w="5252" w:type="pct"/>
        <w:jc w:val="center"/>
        <w:tblBorders>
          <w:top w:val="double" w:color="auto" w:sz="4" w:space="0"/>
          <w:left w:val="none" w:color="auto" w:sz="0" w:space="0"/>
          <w:bottom w:val="double" w:color="auto" w:sz="4" w:space="0"/>
          <w:right w:val="none" w:color="auto" w:sz="0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0" w:type="dxa"/>
          <w:bottom w:w="0" w:type="dxa"/>
          <w:right w:w="57" w:type="dxa"/>
        </w:tblCellMar>
      </w:tblPr>
      <w:tblGrid>
        <w:gridCol w:w="3411"/>
        <w:gridCol w:w="2971"/>
        <w:gridCol w:w="2969"/>
      </w:tblGrid>
      <w:tr w14:paraId="0B318F99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57" w:type="dxa"/>
          </w:tblCellMar>
        </w:tblPrEx>
        <w:trPr>
          <w:trHeight w:val="386" w:hRule="atLeast"/>
          <w:tblHeader/>
          <w:jc w:val="center"/>
        </w:trPr>
        <w:tc>
          <w:tcPr>
            <w:tcW w:w="1823" w:type="pct"/>
            <w:noWrap w:val="0"/>
            <w:vAlign w:val="center"/>
          </w:tcPr>
          <w:p w14:paraId="7B8C10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  <w:t>项目</w:t>
            </w:r>
          </w:p>
        </w:tc>
        <w:tc>
          <w:tcPr>
            <w:tcW w:w="1588" w:type="pct"/>
            <w:noWrap w:val="0"/>
            <w:vAlign w:val="center"/>
          </w:tcPr>
          <w:p w14:paraId="7FE83E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  <w:t>年末余额</w:t>
            </w:r>
          </w:p>
        </w:tc>
        <w:tc>
          <w:tcPr>
            <w:tcW w:w="1587" w:type="pct"/>
            <w:noWrap w:val="0"/>
            <w:vAlign w:val="center"/>
          </w:tcPr>
          <w:p w14:paraId="658027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1"/>
              </w:rPr>
              <w:t>年初余额</w:t>
            </w:r>
          </w:p>
        </w:tc>
      </w:tr>
      <w:tr w14:paraId="0AC4FB33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57" w:type="dxa"/>
          </w:tblCellMar>
        </w:tblPrEx>
        <w:trPr>
          <w:trHeight w:val="386" w:hRule="atLeast"/>
          <w:jc w:val="center"/>
        </w:trPr>
        <w:tc>
          <w:tcPr>
            <w:tcW w:w="1823" w:type="pct"/>
            <w:noWrap w:val="0"/>
            <w:vAlign w:val="center"/>
          </w:tcPr>
          <w:p w14:paraId="6E7D01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Times New Roman"/>
                <w:color w:val="auto"/>
                <w:szCs w:val="22"/>
              </w:rPr>
            </w:pPr>
            <w:r>
              <w:rPr>
                <w:rFonts w:hint="eastAsia" w:ascii="宋体" w:hAnsi="宋体" w:eastAsia="仿宋_GB2312" w:cs="Times New Roman"/>
                <w:color w:val="auto"/>
                <w:szCs w:val="22"/>
                <w:lang w:val="en-US" w:eastAsia="zh-CN"/>
              </w:rPr>
              <w:t>公司债券</w:t>
            </w:r>
          </w:p>
        </w:tc>
        <w:tc>
          <w:tcPr>
            <w:tcW w:w="1588" w:type="pct"/>
            <w:noWrap w:val="0"/>
            <w:vAlign w:val="center"/>
          </w:tcPr>
          <w:p w14:paraId="52978C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宋体" w:hAnsi="宋体"/>
                <w:color w:val="auto"/>
                <w:szCs w:val="22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4,800,000,000.00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587" w:type="pct"/>
            <w:noWrap w:val="0"/>
            <w:vAlign w:val="center"/>
          </w:tcPr>
          <w:p w14:paraId="41112B71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eastAsia" w:ascii="宋体" w:hAnsi="宋体"/>
                <w:color w:val="auto"/>
                <w:szCs w:val="22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 xml:space="preserve"> 3,530,536,667.00 </w:t>
            </w:r>
          </w:p>
        </w:tc>
      </w:tr>
      <w:tr w14:paraId="33F590A5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57" w:type="dxa"/>
          </w:tblCellMar>
        </w:tblPrEx>
        <w:trPr>
          <w:trHeight w:val="386" w:hRule="atLeast"/>
          <w:jc w:val="center"/>
        </w:trPr>
        <w:tc>
          <w:tcPr>
            <w:tcW w:w="1823" w:type="pct"/>
            <w:noWrap w:val="0"/>
            <w:vAlign w:val="center"/>
          </w:tcPr>
          <w:p w14:paraId="753486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Times New Roman"/>
                <w:color w:val="auto"/>
                <w:szCs w:val="22"/>
              </w:rPr>
            </w:pPr>
            <w:r>
              <w:rPr>
                <w:rFonts w:hint="eastAsia" w:ascii="宋体" w:hAnsi="宋体" w:eastAsia="仿宋_GB2312" w:cs="Times New Roman"/>
                <w:color w:val="auto"/>
                <w:szCs w:val="22"/>
                <w:lang w:val="en-US" w:eastAsia="zh-CN"/>
              </w:rPr>
              <w:t>中期票据</w:t>
            </w:r>
          </w:p>
        </w:tc>
        <w:tc>
          <w:tcPr>
            <w:tcW w:w="1588" w:type="pct"/>
            <w:noWrap w:val="0"/>
            <w:vAlign w:val="center"/>
          </w:tcPr>
          <w:p w14:paraId="76D585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宋体" w:hAnsi="宋体"/>
                <w:color w:val="auto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029.69 </w:t>
            </w:r>
          </w:p>
        </w:tc>
        <w:tc>
          <w:tcPr>
            <w:tcW w:w="1587" w:type="pct"/>
            <w:noWrap w:val="0"/>
            <w:vAlign w:val="center"/>
          </w:tcPr>
          <w:p w14:paraId="309863A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textAlignment w:val="center"/>
              <w:rPr>
                <w:rFonts w:hint="eastAsia" w:ascii="宋体" w:hAnsi="宋体"/>
                <w:color w:val="auto"/>
                <w:szCs w:val="22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 xml:space="preserve"> 4,760,809,583.67 </w:t>
            </w:r>
          </w:p>
        </w:tc>
      </w:tr>
      <w:tr w14:paraId="761A3045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57" w:type="dxa"/>
          </w:tblCellMar>
        </w:tblPrEx>
        <w:trPr>
          <w:trHeight w:val="386" w:hRule="atLeast"/>
          <w:jc w:val="center"/>
        </w:trPr>
        <w:tc>
          <w:tcPr>
            <w:tcW w:w="1823" w:type="pct"/>
            <w:noWrap w:val="0"/>
            <w:vAlign w:val="center"/>
          </w:tcPr>
          <w:p w14:paraId="4F0B2B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Times New Roman"/>
                <w:color w:val="auto"/>
                <w:szCs w:val="22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Cs w:val="22"/>
                <w:lang w:val="en-US" w:eastAsia="zh-CN"/>
              </w:rPr>
              <w:t>合  计</w:t>
            </w:r>
          </w:p>
        </w:tc>
        <w:tc>
          <w:tcPr>
            <w:tcW w:w="1588" w:type="pct"/>
            <w:noWrap w:val="0"/>
            <w:vAlign w:val="center"/>
          </w:tcPr>
          <w:p w14:paraId="73533A8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b/>
                <w:bCs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bCs/>
                <w:color w:val="auto"/>
                <w:kern w:val="2"/>
                <w:sz w:val="21"/>
                <w:szCs w:val="22"/>
                <w:lang w:val="en-US" w:eastAsia="zh-CN" w:bidi="ar-SA"/>
              </w:rPr>
              <w:t>12,959,204,029.69</w:t>
            </w:r>
          </w:p>
        </w:tc>
        <w:tc>
          <w:tcPr>
            <w:tcW w:w="1587" w:type="pct"/>
            <w:noWrap w:val="0"/>
            <w:vAlign w:val="center"/>
          </w:tcPr>
          <w:p w14:paraId="11CD2C9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b/>
                <w:bCs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宋体" w:hAnsi="宋体" w:eastAsia="宋体"/>
                <w:b/>
                <w:color w:val="auto"/>
                <w:sz w:val="21"/>
                <w:szCs w:val="22"/>
              </w:rPr>
              <w:t>8,291,346,250.67</w:t>
            </w:r>
          </w:p>
        </w:tc>
      </w:tr>
    </w:tbl>
    <w:p w14:paraId="26EC62AC">
      <w:pPr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31A899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（10）实收资本</w:t>
      </w:r>
    </w:p>
    <w:tbl>
      <w:tblPr>
        <w:tblStyle w:val="14"/>
        <w:tblpPr w:leftFromText="180" w:rightFromText="180" w:vertAnchor="text" w:horzAnchor="page" w:tblpXSpec="center" w:tblpY="243"/>
        <w:tblOverlap w:val="never"/>
        <w:tblW w:w="5461" w:type="pct"/>
        <w:jc w:val="center"/>
        <w:tblBorders>
          <w:top w:val="double" w:color="auto" w:sz="4" w:space="0"/>
          <w:left w:val="none" w:color="auto" w:sz="0" w:space="0"/>
          <w:bottom w:val="double" w:color="auto" w:sz="4" w:space="0"/>
          <w:right w:val="none" w:color="auto" w:sz="0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7"/>
        <w:gridCol w:w="1590"/>
        <w:gridCol w:w="925"/>
        <w:gridCol w:w="1620"/>
        <w:gridCol w:w="1552"/>
        <w:gridCol w:w="1609"/>
        <w:gridCol w:w="864"/>
      </w:tblGrid>
      <w:tr w14:paraId="59A2BAFA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tblHeader/>
          <w:jc w:val="center"/>
        </w:trPr>
        <w:tc>
          <w:tcPr>
            <w:tcW w:w="877" w:type="pct"/>
            <w:vMerge w:val="restart"/>
            <w:noWrap w:val="0"/>
            <w:vAlign w:val="center"/>
          </w:tcPr>
          <w:p w14:paraId="41BF9B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仿宋_GB2312"/>
                <w:b/>
                <w:bCs/>
                <w:color w:val="auto"/>
                <w:sz w:val="20"/>
                <w:szCs w:val="20"/>
              </w:rPr>
            </w:pPr>
            <w:bookmarkStart w:id="0" w:name="_Hlk99962042"/>
            <w:r>
              <w:rPr>
                <w:rFonts w:hint="eastAsia" w:ascii="宋体" w:hAnsi="宋体" w:eastAsia="仿宋_GB2312" w:cs="仿宋_GB2312"/>
                <w:b/>
                <w:bCs/>
                <w:color w:val="auto"/>
                <w:sz w:val="20"/>
                <w:szCs w:val="20"/>
              </w:rPr>
              <w:t>投资者名称</w:t>
            </w:r>
          </w:p>
        </w:tc>
        <w:tc>
          <w:tcPr>
            <w:tcW w:w="1270" w:type="pct"/>
            <w:gridSpan w:val="2"/>
            <w:noWrap w:val="0"/>
            <w:vAlign w:val="center"/>
          </w:tcPr>
          <w:p w14:paraId="113EBB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仿宋_GB2312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auto"/>
                <w:sz w:val="20"/>
                <w:szCs w:val="20"/>
              </w:rPr>
              <w:t>年初余额</w:t>
            </w:r>
          </w:p>
        </w:tc>
        <w:tc>
          <w:tcPr>
            <w:tcW w:w="818" w:type="pct"/>
            <w:vMerge w:val="restart"/>
            <w:noWrap w:val="0"/>
            <w:vAlign w:val="center"/>
          </w:tcPr>
          <w:p w14:paraId="13AFDD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仿宋_GB2312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auto"/>
                <w:sz w:val="20"/>
                <w:szCs w:val="20"/>
              </w:rPr>
              <w:t>本年</w:t>
            </w:r>
          </w:p>
          <w:p w14:paraId="1429AF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仿宋_GB2312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auto"/>
                <w:sz w:val="20"/>
                <w:szCs w:val="20"/>
              </w:rPr>
              <w:t>增加</w:t>
            </w:r>
          </w:p>
        </w:tc>
        <w:tc>
          <w:tcPr>
            <w:tcW w:w="784" w:type="pct"/>
            <w:vMerge w:val="restart"/>
            <w:noWrap w:val="0"/>
            <w:vAlign w:val="center"/>
          </w:tcPr>
          <w:p w14:paraId="13CA95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仿宋_GB2312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auto"/>
                <w:sz w:val="20"/>
                <w:szCs w:val="20"/>
              </w:rPr>
              <w:t>本年</w:t>
            </w:r>
          </w:p>
          <w:p w14:paraId="34BCEA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仿宋_GB2312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auto"/>
                <w:sz w:val="20"/>
                <w:szCs w:val="20"/>
              </w:rPr>
              <w:t>减少</w:t>
            </w:r>
          </w:p>
        </w:tc>
        <w:tc>
          <w:tcPr>
            <w:tcW w:w="1249" w:type="pct"/>
            <w:gridSpan w:val="2"/>
            <w:noWrap w:val="0"/>
            <w:vAlign w:val="center"/>
          </w:tcPr>
          <w:p w14:paraId="5896CD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仿宋_GB2312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auto"/>
                <w:sz w:val="20"/>
                <w:szCs w:val="20"/>
              </w:rPr>
              <w:t>年末余额</w:t>
            </w:r>
          </w:p>
        </w:tc>
      </w:tr>
      <w:tr w14:paraId="24048B8C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tblHeader/>
          <w:jc w:val="center"/>
        </w:trPr>
        <w:tc>
          <w:tcPr>
            <w:tcW w:w="877" w:type="pct"/>
            <w:vMerge w:val="continue"/>
            <w:noWrap w:val="0"/>
            <w:vAlign w:val="center"/>
          </w:tcPr>
          <w:p w14:paraId="0EBECAE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eastAsia" w:ascii="宋体" w:hAnsi="宋体" w:eastAsia="仿宋_GB2312" w:cs="仿宋_GB2312"/>
                <w:b/>
                <w:color w:val="auto"/>
                <w:sz w:val="20"/>
                <w:szCs w:val="21"/>
              </w:rPr>
            </w:pPr>
          </w:p>
        </w:tc>
        <w:tc>
          <w:tcPr>
            <w:tcW w:w="803" w:type="pct"/>
            <w:noWrap w:val="0"/>
            <w:vAlign w:val="center"/>
          </w:tcPr>
          <w:p w14:paraId="6979762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仿宋_GB2312" w:cs="仿宋_GB2312"/>
                <w:b/>
                <w:color w:val="auto"/>
                <w:sz w:val="20"/>
                <w:szCs w:val="21"/>
              </w:rPr>
            </w:pPr>
            <w:r>
              <w:rPr>
                <w:rFonts w:hint="eastAsia" w:ascii="宋体" w:hAnsi="宋体" w:eastAsia="仿宋_GB2312" w:cs="仿宋_GB2312"/>
                <w:b/>
                <w:color w:val="auto"/>
                <w:sz w:val="20"/>
                <w:szCs w:val="21"/>
              </w:rPr>
              <w:t>投资金额</w:t>
            </w:r>
          </w:p>
        </w:tc>
        <w:tc>
          <w:tcPr>
            <w:tcW w:w="467" w:type="pct"/>
            <w:noWrap w:val="0"/>
            <w:vAlign w:val="center"/>
          </w:tcPr>
          <w:p w14:paraId="018BD82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仿宋_GB2312" w:cs="仿宋_GB2312"/>
                <w:b/>
                <w:color w:val="auto"/>
                <w:sz w:val="20"/>
                <w:szCs w:val="21"/>
              </w:rPr>
            </w:pPr>
            <w:r>
              <w:rPr>
                <w:rFonts w:hint="eastAsia" w:ascii="宋体" w:hAnsi="宋体" w:eastAsia="仿宋_GB2312" w:cs="仿宋_GB2312"/>
                <w:b/>
                <w:color w:val="auto"/>
                <w:sz w:val="20"/>
                <w:szCs w:val="21"/>
              </w:rPr>
              <w:t>所占比例（%）</w:t>
            </w:r>
          </w:p>
        </w:tc>
        <w:tc>
          <w:tcPr>
            <w:tcW w:w="818" w:type="pct"/>
            <w:vMerge w:val="continue"/>
            <w:noWrap w:val="0"/>
            <w:vAlign w:val="center"/>
          </w:tcPr>
          <w:p w14:paraId="538C7B5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仿宋_GB2312" w:cs="仿宋_GB2312"/>
                <w:b/>
                <w:color w:val="auto"/>
                <w:sz w:val="20"/>
                <w:szCs w:val="21"/>
              </w:rPr>
            </w:pPr>
          </w:p>
        </w:tc>
        <w:tc>
          <w:tcPr>
            <w:tcW w:w="784" w:type="pct"/>
            <w:vMerge w:val="continue"/>
            <w:noWrap w:val="0"/>
            <w:vAlign w:val="center"/>
          </w:tcPr>
          <w:p w14:paraId="016E13D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仿宋_GB2312" w:cs="仿宋_GB2312"/>
                <w:b/>
                <w:color w:val="auto"/>
                <w:sz w:val="20"/>
                <w:szCs w:val="21"/>
              </w:rPr>
            </w:pPr>
          </w:p>
        </w:tc>
        <w:tc>
          <w:tcPr>
            <w:tcW w:w="812" w:type="pct"/>
            <w:noWrap w:val="0"/>
            <w:vAlign w:val="center"/>
          </w:tcPr>
          <w:p w14:paraId="675255B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仿宋_GB2312" w:cs="仿宋_GB2312"/>
                <w:b/>
                <w:color w:val="auto"/>
                <w:sz w:val="20"/>
                <w:szCs w:val="21"/>
              </w:rPr>
            </w:pPr>
            <w:r>
              <w:rPr>
                <w:rFonts w:hint="eastAsia" w:ascii="宋体" w:hAnsi="宋体" w:eastAsia="仿宋_GB2312" w:cs="仿宋_GB2312"/>
                <w:b/>
                <w:color w:val="auto"/>
                <w:sz w:val="20"/>
                <w:szCs w:val="21"/>
              </w:rPr>
              <w:t>投资金额</w:t>
            </w:r>
          </w:p>
        </w:tc>
        <w:tc>
          <w:tcPr>
            <w:tcW w:w="436" w:type="pct"/>
            <w:noWrap w:val="0"/>
            <w:vAlign w:val="center"/>
          </w:tcPr>
          <w:p w14:paraId="4F82CB8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仿宋_GB2312" w:cs="仿宋_GB2312"/>
                <w:b/>
                <w:color w:val="auto"/>
                <w:sz w:val="20"/>
                <w:szCs w:val="21"/>
              </w:rPr>
            </w:pPr>
            <w:r>
              <w:rPr>
                <w:rFonts w:hint="eastAsia" w:ascii="宋体" w:hAnsi="宋体" w:eastAsia="仿宋_GB2312" w:cs="仿宋_GB2312"/>
                <w:b/>
                <w:color w:val="auto"/>
                <w:sz w:val="20"/>
                <w:szCs w:val="21"/>
              </w:rPr>
              <w:t>所占比例（%）</w:t>
            </w:r>
          </w:p>
        </w:tc>
      </w:tr>
      <w:tr w14:paraId="0BE6A7B2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77" w:type="pct"/>
            <w:noWrap w:val="0"/>
            <w:vAlign w:val="center"/>
          </w:tcPr>
          <w:p w14:paraId="4A9013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仿宋_GB2312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仿宋_GB2312" w:cs="Times New Roman"/>
                <w:color w:val="auto"/>
                <w:sz w:val="16"/>
                <w:szCs w:val="16"/>
                <w:lang w:val="en-US" w:eastAsia="zh-CN"/>
              </w:rPr>
              <w:t>青岛城市建设投资（集团）有限责任公司</w:t>
            </w:r>
          </w:p>
        </w:tc>
        <w:tc>
          <w:tcPr>
            <w:tcW w:w="803" w:type="pct"/>
            <w:noWrap w:val="0"/>
            <w:vAlign w:val="center"/>
          </w:tcPr>
          <w:p w14:paraId="4D899E6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</w:rPr>
              <w:t>23,301,978,105.00</w:t>
            </w:r>
            <w:r>
              <w:rPr>
                <w:rFonts w:hint="eastAsi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467" w:type="pct"/>
            <w:noWrap w:val="0"/>
            <w:vAlign w:val="center"/>
          </w:tcPr>
          <w:p w14:paraId="7F54C98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  <w:r>
              <w:rPr>
                <w:rFonts w:hint="default" w:ascii="宋体" w:hAnsi="宋体"/>
                <w:color w:val="auto"/>
                <w:sz w:val="16"/>
                <w:szCs w:val="16"/>
              </w:rPr>
              <w:t>46.6040</w:t>
            </w:r>
          </w:p>
        </w:tc>
        <w:tc>
          <w:tcPr>
            <w:tcW w:w="818" w:type="pct"/>
            <w:noWrap w:val="0"/>
            <w:vAlign w:val="center"/>
          </w:tcPr>
          <w:p w14:paraId="2E6AD7C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</w:p>
        </w:tc>
        <w:tc>
          <w:tcPr>
            <w:tcW w:w="784" w:type="pct"/>
            <w:noWrap w:val="0"/>
            <w:vAlign w:val="center"/>
          </w:tcPr>
          <w:p w14:paraId="4AC3093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</w:p>
        </w:tc>
        <w:tc>
          <w:tcPr>
            <w:tcW w:w="812" w:type="pct"/>
            <w:noWrap w:val="0"/>
            <w:vAlign w:val="center"/>
          </w:tcPr>
          <w:p w14:paraId="278CC7C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</w:rPr>
              <w:t>23,301,978,105.00</w:t>
            </w:r>
            <w:r>
              <w:rPr>
                <w:rFonts w:hint="eastAsi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436" w:type="pct"/>
            <w:noWrap w:val="0"/>
            <w:vAlign w:val="center"/>
          </w:tcPr>
          <w:p w14:paraId="7FF2A76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Times New Roman"/>
                <w:color w:val="auto"/>
                <w:sz w:val="16"/>
                <w:szCs w:val="16"/>
              </w:rPr>
            </w:pPr>
            <w:r>
              <w:rPr>
                <w:rFonts w:hint="default" w:ascii="宋体" w:hAnsi="宋体"/>
                <w:color w:val="auto"/>
                <w:sz w:val="16"/>
                <w:szCs w:val="16"/>
              </w:rPr>
              <w:t>46.6040</w:t>
            </w:r>
          </w:p>
        </w:tc>
      </w:tr>
      <w:tr w14:paraId="71CE1C3E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77" w:type="pct"/>
            <w:noWrap w:val="0"/>
            <w:vAlign w:val="center"/>
          </w:tcPr>
          <w:p w14:paraId="1D6B51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仿宋_GB2312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仿宋_GB2312" w:cs="Times New Roman"/>
                <w:color w:val="auto"/>
                <w:sz w:val="16"/>
                <w:szCs w:val="16"/>
                <w:lang w:val="en-US" w:eastAsia="zh-CN"/>
              </w:rPr>
              <w:t>烟台市轨道交通集团有限公司</w:t>
            </w:r>
          </w:p>
        </w:tc>
        <w:tc>
          <w:tcPr>
            <w:tcW w:w="803" w:type="pct"/>
            <w:noWrap w:val="0"/>
            <w:vAlign w:val="center"/>
          </w:tcPr>
          <w:p w14:paraId="614E498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</w:rPr>
              <w:t>8,687,888,461.61</w:t>
            </w:r>
            <w:r>
              <w:rPr>
                <w:rFonts w:hint="eastAsi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467" w:type="pct"/>
            <w:noWrap w:val="0"/>
            <w:vAlign w:val="center"/>
          </w:tcPr>
          <w:p w14:paraId="69911FD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  <w:r>
              <w:rPr>
                <w:rFonts w:hint="default" w:ascii="宋体" w:hAnsi="宋体"/>
                <w:color w:val="auto"/>
                <w:sz w:val="16"/>
                <w:szCs w:val="16"/>
              </w:rPr>
              <w:t>17.3758</w:t>
            </w:r>
          </w:p>
        </w:tc>
        <w:tc>
          <w:tcPr>
            <w:tcW w:w="818" w:type="pct"/>
            <w:noWrap w:val="0"/>
            <w:vAlign w:val="center"/>
          </w:tcPr>
          <w:p w14:paraId="355479A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</w:p>
        </w:tc>
        <w:tc>
          <w:tcPr>
            <w:tcW w:w="784" w:type="pct"/>
            <w:noWrap w:val="0"/>
            <w:vAlign w:val="center"/>
          </w:tcPr>
          <w:p w14:paraId="30C8FC7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</w:p>
        </w:tc>
        <w:tc>
          <w:tcPr>
            <w:tcW w:w="812" w:type="pct"/>
            <w:noWrap w:val="0"/>
            <w:vAlign w:val="center"/>
          </w:tcPr>
          <w:p w14:paraId="6F7A56B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</w:rPr>
              <w:t>8,687,888,461.61</w:t>
            </w:r>
            <w:r>
              <w:rPr>
                <w:rFonts w:hint="eastAsi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436" w:type="pct"/>
            <w:noWrap w:val="0"/>
            <w:vAlign w:val="center"/>
          </w:tcPr>
          <w:p w14:paraId="4F2420E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Times New Roman"/>
                <w:color w:val="auto"/>
                <w:sz w:val="16"/>
                <w:szCs w:val="16"/>
              </w:rPr>
            </w:pPr>
            <w:r>
              <w:rPr>
                <w:rFonts w:hint="default" w:ascii="宋体" w:hAnsi="宋体"/>
                <w:color w:val="auto"/>
                <w:sz w:val="16"/>
                <w:szCs w:val="16"/>
              </w:rPr>
              <w:t>17.3758</w:t>
            </w:r>
          </w:p>
        </w:tc>
      </w:tr>
      <w:tr w14:paraId="18ABFB5B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77" w:type="pct"/>
            <w:noWrap w:val="0"/>
            <w:vAlign w:val="center"/>
          </w:tcPr>
          <w:p w14:paraId="52088A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仿宋_GB2312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仿宋_GB2312" w:cs="Times New Roman"/>
                <w:color w:val="auto"/>
                <w:sz w:val="16"/>
                <w:szCs w:val="16"/>
                <w:lang w:val="en-US" w:eastAsia="zh-CN"/>
              </w:rPr>
              <w:t>山东高速集团有限公司</w:t>
            </w:r>
          </w:p>
        </w:tc>
        <w:tc>
          <w:tcPr>
            <w:tcW w:w="803" w:type="pct"/>
            <w:noWrap w:val="0"/>
            <w:vAlign w:val="center"/>
          </w:tcPr>
          <w:p w14:paraId="54E3C86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</w:rPr>
              <w:t>7,072,268,425.08</w:t>
            </w:r>
            <w:r>
              <w:rPr>
                <w:rFonts w:hint="eastAsi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467" w:type="pct"/>
            <w:noWrap w:val="0"/>
            <w:vAlign w:val="center"/>
          </w:tcPr>
          <w:p w14:paraId="3D7C516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  <w:r>
              <w:rPr>
                <w:rFonts w:hint="default" w:ascii="宋体" w:hAnsi="宋体"/>
                <w:color w:val="auto"/>
                <w:sz w:val="16"/>
                <w:szCs w:val="16"/>
              </w:rPr>
              <w:t>14.1445</w:t>
            </w:r>
          </w:p>
        </w:tc>
        <w:tc>
          <w:tcPr>
            <w:tcW w:w="818" w:type="pct"/>
            <w:noWrap w:val="0"/>
            <w:vAlign w:val="center"/>
          </w:tcPr>
          <w:p w14:paraId="6BCB309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</w:p>
        </w:tc>
        <w:tc>
          <w:tcPr>
            <w:tcW w:w="784" w:type="pct"/>
            <w:noWrap w:val="0"/>
            <w:vAlign w:val="center"/>
          </w:tcPr>
          <w:p w14:paraId="39BB1FB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</w:p>
        </w:tc>
        <w:tc>
          <w:tcPr>
            <w:tcW w:w="812" w:type="pct"/>
            <w:noWrap w:val="0"/>
            <w:vAlign w:val="center"/>
          </w:tcPr>
          <w:p w14:paraId="05A04C3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</w:rPr>
              <w:t>7,072,268,425.08</w:t>
            </w:r>
            <w:r>
              <w:rPr>
                <w:rFonts w:hint="eastAsi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436" w:type="pct"/>
            <w:noWrap w:val="0"/>
            <w:vAlign w:val="center"/>
          </w:tcPr>
          <w:p w14:paraId="46C07B6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Times New Roman"/>
                <w:color w:val="auto"/>
                <w:sz w:val="16"/>
                <w:szCs w:val="16"/>
              </w:rPr>
            </w:pPr>
            <w:r>
              <w:rPr>
                <w:rFonts w:hint="default" w:ascii="宋体" w:hAnsi="宋体"/>
                <w:color w:val="auto"/>
                <w:sz w:val="16"/>
                <w:szCs w:val="16"/>
              </w:rPr>
              <w:t>14.1445</w:t>
            </w:r>
          </w:p>
        </w:tc>
      </w:tr>
      <w:tr w14:paraId="7FAC3E74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77" w:type="pct"/>
            <w:noWrap w:val="0"/>
            <w:vAlign w:val="center"/>
          </w:tcPr>
          <w:p w14:paraId="30AEE3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仿宋_GB2312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仿宋_GB2312" w:cs="Times New Roman"/>
                <w:color w:val="auto"/>
                <w:sz w:val="16"/>
                <w:szCs w:val="16"/>
                <w:lang w:val="en-US" w:eastAsia="zh-CN"/>
              </w:rPr>
              <w:t>日照交通能源发展集团有限公司</w:t>
            </w:r>
          </w:p>
        </w:tc>
        <w:tc>
          <w:tcPr>
            <w:tcW w:w="803" w:type="pct"/>
            <w:noWrap w:val="0"/>
            <w:vAlign w:val="center"/>
          </w:tcPr>
          <w:p w14:paraId="6BED39C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eastAsia" w:ascii="宋体" w:hAnsi="宋体"/>
                <w:color w:val="auto"/>
                <w:sz w:val="16"/>
                <w:szCs w:val="16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</w:rPr>
              <w:t>5,841,498,786.06</w:t>
            </w:r>
          </w:p>
        </w:tc>
        <w:tc>
          <w:tcPr>
            <w:tcW w:w="467" w:type="pct"/>
            <w:noWrap w:val="0"/>
            <w:vAlign w:val="center"/>
          </w:tcPr>
          <w:p w14:paraId="0306630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/>
                <w:color w:val="auto"/>
                <w:sz w:val="16"/>
                <w:szCs w:val="16"/>
              </w:rPr>
            </w:pPr>
            <w:r>
              <w:rPr>
                <w:rFonts w:hint="default" w:ascii="宋体" w:hAnsi="宋体"/>
                <w:color w:val="auto"/>
                <w:sz w:val="16"/>
                <w:szCs w:val="16"/>
              </w:rPr>
              <w:t>11.683</w:t>
            </w:r>
          </w:p>
        </w:tc>
        <w:tc>
          <w:tcPr>
            <w:tcW w:w="818" w:type="pct"/>
            <w:noWrap w:val="0"/>
            <w:vAlign w:val="center"/>
          </w:tcPr>
          <w:p w14:paraId="5AD8C57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</w:p>
        </w:tc>
        <w:tc>
          <w:tcPr>
            <w:tcW w:w="784" w:type="pct"/>
            <w:noWrap w:val="0"/>
            <w:vAlign w:val="center"/>
          </w:tcPr>
          <w:p w14:paraId="18821D5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</w:p>
        </w:tc>
        <w:tc>
          <w:tcPr>
            <w:tcW w:w="812" w:type="pct"/>
            <w:noWrap w:val="0"/>
            <w:vAlign w:val="center"/>
          </w:tcPr>
          <w:p w14:paraId="7627E26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eastAsia" w:ascii="宋体" w:hAnsi="宋体"/>
                <w:color w:val="auto"/>
                <w:sz w:val="16"/>
                <w:szCs w:val="16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</w:rPr>
              <w:t>5,841,498,786.06</w:t>
            </w:r>
          </w:p>
        </w:tc>
        <w:tc>
          <w:tcPr>
            <w:tcW w:w="436" w:type="pct"/>
            <w:noWrap w:val="0"/>
            <w:vAlign w:val="center"/>
          </w:tcPr>
          <w:p w14:paraId="4561B1E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/>
                <w:color w:val="auto"/>
                <w:sz w:val="16"/>
                <w:szCs w:val="16"/>
              </w:rPr>
            </w:pPr>
            <w:r>
              <w:rPr>
                <w:rFonts w:hint="default" w:ascii="宋体" w:hAnsi="宋体"/>
                <w:color w:val="auto"/>
                <w:sz w:val="16"/>
                <w:szCs w:val="16"/>
              </w:rPr>
              <w:t>11.683</w:t>
            </w:r>
          </w:p>
        </w:tc>
      </w:tr>
      <w:tr w14:paraId="44C4DFB7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77" w:type="pct"/>
            <w:noWrap w:val="0"/>
            <w:vAlign w:val="center"/>
          </w:tcPr>
          <w:p w14:paraId="59C751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仿宋_GB2312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仿宋_GB2312" w:cs="Times New Roman"/>
                <w:color w:val="auto"/>
                <w:sz w:val="16"/>
                <w:szCs w:val="16"/>
                <w:lang w:val="en-US" w:eastAsia="zh-CN"/>
              </w:rPr>
              <w:t>山东能源集团有限公司</w:t>
            </w:r>
          </w:p>
        </w:tc>
        <w:tc>
          <w:tcPr>
            <w:tcW w:w="803" w:type="pct"/>
            <w:noWrap w:val="0"/>
            <w:vAlign w:val="center"/>
          </w:tcPr>
          <w:p w14:paraId="29FA189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</w:rPr>
              <w:t>2,007,126,300.36</w:t>
            </w:r>
            <w:r>
              <w:rPr>
                <w:rFonts w:hint="eastAsi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467" w:type="pct"/>
            <w:noWrap w:val="0"/>
            <w:vAlign w:val="center"/>
          </w:tcPr>
          <w:p w14:paraId="612272B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  <w:r>
              <w:rPr>
                <w:rFonts w:hint="default" w:ascii="宋体" w:hAnsi="宋体"/>
                <w:color w:val="auto"/>
                <w:sz w:val="16"/>
                <w:szCs w:val="16"/>
              </w:rPr>
              <w:t>4.0143</w:t>
            </w:r>
          </w:p>
        </w:tc>
        <w:tc>
          <w:tcPr>
            <w:tcW w:w="818" w:type="pct"/>
            <w:noWrap w:val="0"/>
            <w:vAlign w:val="center"/>
          </w:tcPr>
          <w:p w14:paraId="051233E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</w:p>
        </w:tc>
        <w:tc>
          <w:tcPr>
            <w:tcW w:w="784" w:type="pct"/>
            <w:noWrap w:val="0"/>
            <w:vAlign w:val="center"/>
          </w:tcPr>
          <w:p w14:paraId="62B8BE4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</w:p>
        </w:tc>
        <w:tc>
          <w:tcPr>
            <w:tcW w:w="812" w:type="pct"/>
            <w:noWrap w:val="0"/>
            <w:vAlign w:val="center"/>
          </w:tcPr>
          <w:p w14:paraId="34FAFC0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</w:rPr>
              <w:t>2,007,126,300.36</w:t>
            </w:r>
            <w:r>
              <w:rPr>
                <w:rFonts w:hint="eastAsi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436" w:type="pct"/>
            <w:noWrap w:val="0"/>
            <w:vAlign w:val="center"/>
          </w:tcPr>
          <w:p w14:paraId="5F99DFF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Times New Roman"/>
                <w:color w:val="auto"/>
                <w:sz w:val="16"/>
                <w:szCs w:val="16"/>
              </w:rPr>
            </w:pPr>
            <w:r>
              <w:rPr>
                <w:rFonts w:hint="default" w:ascii="宋体" w:hAnsi="宋体"/>
                <w:color w:val="auto"/>
                <w:sz w:val="16"/>
                <w:szCs w:val="16"/>
              </w:rPr>
              <w:t>4.0143</w:t>
            </w:r>
          </w:p>
        </w:tc>
      </w:tr>
      <w:tr w14:paraId="1BFCCF21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77" w:type="pct"/>
            <w:noWrap w:val="0"/>
            <w:vAlign w:val="center"/>
          </w:tcPr>
          <w:p w14:paraId="14C982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仿宋_GB2312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仿宋_GB2312" w:cs="Times New Roman"/>
                <w:color w:val="auto"/>
                <w:sz w:val="16"/>
                <w:szCs w:val="16"/>
                <w:lang w:val="en-US" w:eastAsia="zh-CN"/>
              </w:rPr>
              <w:t>威海产业投资集团有限公司</w:t>
            </w:r>
          </w:p>
        </w:tc>
        <w:tc>
          <w:tcPr>
            <w:tcW w:w="803" w:type="pct"/>
            <w:noWrap w:val="0"/>
            <w:vAlign w:val="center"/>
          </w:tcPr>
          <w:p w14:paraId="0390775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</w:rPr>
              <w:t>1,285,765,921.89</w:t>
            </w:r>
            <w:r>
              <w:rPr>
                <w:rFonts w:hint="eastAsi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467" w:type="pct"/>
            <w:noWrap w:val="0"/>
            <w:vAlign w:val="center"/>
          </w:tcPr>
          <w:p w14:paraId="759F3A1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  <w:r>
              <w:rPr>
                <w:rFonts w:hint="default" w:ascii="宋体" w:hAnsi="宋体"/>
                <w:color w:val="auto"/>
                <w:sz w:val="16"/>
                <w:szCs w:val="16"/>
              </w:rPr>
              <w:t>2.5715</w:t>
            </w:r>
          </w:p>
        </w:tc>
        <w:tc>
          <w:tcPr>
            <w:tcW w:w="818" w:type="pct"/>
            <w:noWrap w:val="0"/>
            <w:vAlign w:val="center"/>
          </w:tcPr>
          <w:p w14:paraId="4F5C820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</w:p>
        </w:tc>
        <w:tc>
          <w:tcPr>
            <w:tcW w:w="784" w:type="pct"/>
            <w:noWrap w:val="0"/>
            <w:vAlign w:val="center"/>
          </w:tcPr>
          <w:p w14:paraId="7168FE4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</w:p>
        </w:tc>
        <w:tc>
          <w:tcPr>
            <w:tcW w:w="812" w:type="pct"/>
            <w:noWrap w:val="0"/>
            <w:vAlign w:val="center"/>
          </w:tcPr>
          <w:p w14:paraId="51FC2ED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</w:rPr>
              <w:t>1,285,765,921.89</w:t>
            </w:r>
            <w:r>
              <w:rPr>
                <w:rFonts w:hint="eastAsi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436" w:type="pct"/>
            <w:noWrap w:val="0"/>
            <w:vAlign w:val="center"/>
          </w:tcPr>
          <w:p w14:paraId="201EAD2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Times New Roman"/>
                <w:color w:val="auto"/>
                <w:sz w:val="16"/>
                <w:szCs w:val="16"/>
              </w:rPr>
            </w:pPr>
            <w:r>
              <w:rPr>
                <w:rFonts w:hint="default" w:ascii="宋体" w:hAnsi="宋体"/>
                <w:color w:val="auto"/>
                <w:sz w:val="16"/>
                <w:szCs w:val="16"/>
              </w:rPr>
              <w:t>2.5715</w:t>
            </w:r>
          </w:p>
        </w:tc>
      </w:tr>
      <w:tr w14:paraId="1C733C87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77" w:type="pct"/>
            <w:noWrap w:val="0"/>
            <w:vAlign w:val="center"/>
          </w:tcPr>
          <w:p w14:paraId="045D34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仿宋_GB2312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仿宋_GB2312" w:cs="Times New Roman"/>
                <w:color w:val="auto"/>
                <w:sz w:val="16"/>
                <w:szCs w:val="16"/>
                <w:lang w:val="en-US" w:eastAsia="zh-CN"/>
              </w:rPr>
              <w:t>山东港口日照港集团有限公司</w:t>
            </w:r>
          </w:p>
        </w:tc>
        <w:tc>
          <w:tcPr>
            <w:tcW w:w="803" w:type="pct"/>
            <w:noWrap w:val="0"/>
            <w:vAlign w:val="center"/>
          </w:tcPr>
          <w:p w14:paraId="4555A99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467" w:type="pct"/>
            <w:noWrap w:val="0"/>
            <w:vAlign w:val="center"/>
          </w:tcPr>
          <w:p w14:paraId="389DD09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-</w:t>
            </w:r>
          </w:p>
        </w:tc>
        <w:tc>
          <w:tcPr>
            <w:tcW w:w="818" w:type="pct"/>
            <w:noWrap w:val="0"/>
            <w:vAlign w:val="center"/>
          </w:tcPr>
          <w:p w14:paraId="3836400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  <w:r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  <w:t>1,803,474,000.00</w:t>
            </w:r>
          </w:p>
        </w:tc>
        <w:tc>
          <w:tcPr>
            <w:tcW w:w="784" w:type="pct"/>
            <w:noWrap w:val="0"/>
            <w:vAlign w:val="center"/>
          </w:tcPr>
          <w:p w14:paraId="0989CB8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</w:p>
        </w:tc>
        <w:tc>
          <w:tcPr>
            <w:tcW w:w="812" w:type="pct"/>
            <w:noWrap w:val="0"/>
            <w:vAlign w:val="center"/>
          </w:tcPr>
          <w:p w14:paraId="4EB2272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eastAsia" w:ascii="宋体" w:hAnsi="宋体"/>
                <w:color w:val="auto"/>
                <w:sz w:val="16"/>
                <w:szCs w:val="16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</w:rPr>
              <w:t>1,803,474,000.00</w:t>
            </w:r>
          </w:p>
        </w:tc>
        <w:tc>
          <w:tcPr>
            <w:tcW w:w="436" w:type="pct"/>
            <w:noWrap w:val="0"/>
            <w:vAlign w:val="center"/>
          </w:tcPr>
          <w:p w14:paraId="600B0B4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3.6069</w:t>
            </w:r>
          </w:p>
        </w:tc>
      </w:tr>
      <w:tr w14:paraId="5EF7D6B0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77" w:type="pct"/>
            <w:noWrap w:val="0"/>
            <w:vAlign w:val="center"/>
          </w:tcPr>
          <w:p w14:paraId="62A915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仿宋_GB2312" w:cs="Times New Roman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仿宋_GB2312" w:cs="Times New Roman"/>
                <w:color w:val="auto"/>
                <w:sz w:val="16"/>
                <w:szCs w:val="16"/>
                <w:lang w:val="en-US" w:eastAsia="zh-CN"/>
              </w:rPr>
              <w:t>日照港集团岚山港务有限公司</w:t>
            </w:r>
          </w:p>
        </w:tc>
        <w:tc>
          <w:tcPr>
            <w:tcW w:w="803" w:type="pct"/>
            <w:noWrap w:val="0"/>
            <w:vAlign w:val="center"/>
          </w:tcPr>
          <w:p w14:paraId="7B399BA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1,803,474,000.00</w:t>
            </w:r>
          </w:p>
        </w:tc>
        <w:tc>
          <w:tcPr>
            <w:tcW w:w="467" w:type="pct"/>
            <w:noWrap w:val="0"/>
            <w:vAlign w:val="center"/>
          </w:tcPr>
          <w:p w14:paraId="061D360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  <w:t>3.6069</w:t>
            </w:r>
          </w:p>
        </w:tc>
        <w:tc>
          <w:tcPr>
            <w:tcW w:w="818" w:type="pct"/>
            <w:noWrap w:val="0"/>
            <w:vAlign w:val="center"/>
          </w:tcPr>
          <w:p w14:paraId="07A021B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</w:p>
        </w:tc>
        <w:tc>
          <w:tcPr>
            <w:tcW w:w="784" w:type="pct"/>
            <w:noWrap w:val="0"/>
            <w:vAlign w:val="center"/>
          </w:tcPr>
          <w:p w14:paraId="77658AF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</w:pPr>
            <w:r>
              <w:rPr>
                <w:rFonts w:hint="default" w:ascii="宋体" w:hAnsi="宋体" w:eastAsia="宋体" w:cs="Times New Roman"/>
                <w:color w:val="auto"/>
                <w:sz w:val="16"/>
                <w:szCs w:val="16"/>
              </w:rPr>
              <w:t>1,803,474,000.00</w:t>
            </w:r>
          </w:p>
        </w:tc>
        <w:tc>
          <w:tcPr>
            <w:tcW w:w="812" w:type="pct"/>
            <w:noWrap w:val="0"/>
            <w:vAlign w:val="center"/>
          </w:tcPr>
          <w:p w14:paraId="1232628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eastAsia" w:ascii="宋体" w:hAnsi="宋体"/>
                <w:color w:val="auto"/>
                <w:sz w:val="16"/>
                <w:szCs w:val="16"/>
              </w:rPr>
            </w:pPr>
          </w:p>
        </w:tc>
        <w:tc>
          <w:tcPr>
            <w:tcW w:w="436" w:type="pct"/>
            <w:noWrap w:val="0"/>
            <w:vAlign w:val="center"/>
          </w:tcPr>
          <w:p w14:paraId="6680922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color w:val="auto"/>
                <w:sz w:val="16"/>
                <w:szCs w:val="16"/>
                <w:lang w:val="en-US" w:eastAsia="zh-CN"/>
              </w:rPr>
            </w:pPr>
          </w:p>
        </w:tc>
      </w:tr>
      <w:tr w14:paraId="370D09C2">
        <w:tblPrEx>
          <w:tblBorders>
            <w:top w:val="double" w:color="auto" w:sz="4" w:space="0"/>
            <w:left w:val="none" w:color="auto" w:sz="0" w:space="0"/>
            <w:bottom w:val="double" w:color="auto" w:sz="4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877" w:type="pct"/>
            <w:noWrap w:val="0"/>
            <w:vAlign w:val="center"/>
          </w:tcPr>
          <w:p w14:paraId="194EB8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Times New Roman"/>
                <w:color w:val="auto"/>
                <w:sz w:val="16"/>
                <w:szCs w:val="16"/>
              </w:rPr>
            </w:pP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 w:val="16"/>
                <w:szCs w:val="16"/>
              </w:rPr>
              <w:t>合</w:t>
            </w: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Times New Roman"/>
                <w:b/>
                <w:bCs/>
                <w:color w:val="auto"/>
                <w:sz w:val="16"/>
                <w:szCs w:val="16"/>
              </w:rPr>
              <w:t>计</w:t>
            </w:r>
          </w:p>
        </w:tc>
        <w:tc>
          <w:tcPr>
            <w:tcW w:w="803" w:type="pct"/>
            <w:noWrap w:val="0"/>
            <w:vAlign w:val="center"/>
          </w:tcPr>
          <w:p w14:paraId="079E793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hint="eastAsia" w:ascii="宋体" w:hAnsi="宋体"/>
                <w:b/>
                <w:color w:val="auto"/>
                <w:sz w:val="16"/>
                <w:szCs w:val="16"/>
              </w:rPr>
              <w:t>50,000,000,000.00</w:t>
            </w:r>
            <w:r>
              <w:rPr>
                <w:rFonts w:hint="eastAsi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467" w:type="pct"/>
            <w:noWrap w:val="0"/>
            <w:vAlign w:val="center"/>
          </w:tcPr>
          <w:p w14:paraId="773FFE8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hint="eastAsia" w:ascii="宋体" w:hAnsi="宋体"/>
                <w:b/>
                <w:color w:val="auto"/>
                <w:sz w:val="16"/>
                <w:szCs w:val="16"/>
              </w:rPr>
              <w:t>100.00</w:t>
            </w:r>
            <w:r>
              <w:rPr>
                <w:rFonts w:hint="eastAsi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818" w:type="pct"/>
            <w:noWrap w:val="0"/>
            <w:vAlign w:val="center"/>
          </w:tcPr>
          <w:p w14:paraId="7A117ED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hint="default" w:ascii="宋体" w:hAnsi="宋体" w:eastAsia="宋体" w:cs="Times New Roman"/>
                <w:b/>
                <w:bCs/>
                <w:color w:val="auto"/>
                <w:sz w:val="16"/>
                <w:szCs w:val="16"/>
              </w:rPr>
              <w:t>1,803,474,000.00</w:t>
            </w:r>
          </w:p>
        </w:tc>
        <w:tc>
          <w:tcPr>
            <w:tcW w:w="784" w:type="pct"/>
            <w:noWrap w:val="0"/>
            <w:vAlign w:val="center"/>
          </w:tcPr>
          <w:p w14:paraId="48427DD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hint="default" w:ascii="宋体" w:hAnsi="宋体" w:eastAsia="宋体" w:cs="Times New Roman"/>
                <w:b/>
                <w:bCs/>
                <w:color w:val="auto"/>
                <w:sz w:val="16"/>
                <w:szCs w:val="16"/>
              </w:rPr>
              <w:t>1,803,474,000.00</w:t>
            </w:r>
          </w:p>
        </w:tc>
        <w:tc>
          <w:tcPr>
            <w:tcW w:w="812" w:type="pct"/>
            <w:noWrap w:val="0"/>
            <w:vAlign w:val="center"/>
          </w:tcPr>
          <w:p w14:paraId="7388ACB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宋体" w:hAnsi="宋体" w:eastAsia="宋体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hint="eastAsia" w:ascii="宋体" w:hAnsi="宋体"/>
                <w:b/>
                <w:color w:val="auto"/>
                <w:sz w:val="16"/>
                <w:szCs w:val="16"/>
              </w:rPr>
              <w:t>50,000,000,000.00</w:t>
            </w:r>
            <w:r>
              <w:rPr>
                <w:rFonts w:hint="eastAsi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436" w:type="pct"/>
            <w:noWrap w:val="0"/>
            <w:vAlign w:val="center"/>
          </w:tcPr>
          <w:p w14:paraId="0F8C1C8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hint="eastAsia" w:ascii="宋体" w:hAnsi="宋体"/>
                <w:b/>
                <w:color w:val="auto"/>
                <w:sz w:val="16"/>
                <w:szCs w:val="16"/>
              </w:rPr>
              <w:t>100.00</w:t>
            </w:r>
            <w:r>
              <w:rPr>
                <w:rFonts w:hint="eastAsia"/>
                <w:color w:val="auto"/>
                <w:sz w:val="16"/>
                <w:szCs w:val="16"/>
              </w:rPr>
              <w:t xml:space="preserve"> </w:t>
            </w:r>
          </w:p>
        </w:tc>
      </w:tr>
      <w:bookmarkEnd w:id="0"/>
    </w:tbl>
    <w:p w14:paraId="5A8D8F68">
      <w:pPr>
        <w:numPr>
          <w:ilvl w:val="0"/>
          <w:numId w:val="0"/>
        </w:numPr>
        <w:rPr>
          <w:rFonts w:hint="eastAsia" w:ascii="宋体" w:hAnsi="宋体" w:eastAsia="楷体_GB2312" w:cs="楷体_GB2312"/>
          <w:color w:val="auto"/>
          <w:kern w:val="2"/>
          <w:sz w:val="32"/>
          <w:szCs w:val="32"/>
          <w:lang w:val="en-US" w:eastAsia="zh-CN" w:bidi="ar-SA"/>
        </w:rPr>
      </w:pPr>
    </w:p>
    <w:p w14:paraId="46396A2D">
      <w:pPr>
        <w:numPr>
          <w:ilvl w:val="0"/>
          <w:numId w:val="0"/>
        </w:numPr>
        <w:rPr>
          <w:rFonts w:hint="eastAsia" w:ascii="宋体" w:hAnsi="宋体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楷体_GB2312" w:cs="楷体_GB2312"/>
          <w:color w:val="auto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宋体" w:hAnsi="宋体" w:eastAsia="楷体_GB2312" w:cs="楷体_GB2312"/>
          <w:color w:val="auto"/>
          <w:sz w:val="32"/>
          <w:szCs w:val="32"/>
          <w:highlight w:val="none"/>
          <w:lang w:val="en-US" w:eastAsia="zh-CN"/>
        </w:rPr>
        <w:t>利润表</w:t>
      </w:r>
    </w:p>
    <w:p w14:paraId="400684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5040" w:firstLineChars="2100"/>
        <w:jc w:val="center"/>
        <w:textAlignment w:val="auto"/>
        <w:rPr>
          <w:rFonts w:hint="eastAsia" w:ascii="宋体" w:hAnsi="宋体" w:eastAsia="楷体_GB2312" w:cs="楷体_GB2312"/>
          <w:color w:val="auto"/>
          <w:sz w:val="32"/>
          <w:szCs w:val="32"/>
          <w:highlight w:val="yellow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24"/>
          <w:szCs w:val="24"/>
          <w:lang w:val="en-US" w:eastAsia="zh-CN"/>
        </w:rPr>
        <w:t xml:space="preserve">                单位：元</w:t>
      </w:r>
    </w:p>
    <w:tbl>
      <w:tblPr>
        <w:tblStyle w:val="14"/>
        <w:tblpPr w:leftFromText="180" w:rightFromText="180" w:vertAnchor="text" w:horzAnchor="page" w:tblpX="900" w:tblpY="556"/>
        <w:tblOverlap w:val="never"/>
        <w:tblW w:w="1040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2"/>
        <w:gridCol w:w="687"/>
        <w:gridCol w:w="2113"/>
        <w:gridCol w:w="2141"/>
      </w:tblGrid>
      <w:tr w14:paraId="2BE92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FE7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            目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74A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行次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341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本期金额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F02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仿宋_GB2312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上期金额</w:t>
            </w:r>
          </w:p>
        </w:tc>
      </w:tr>
      <w:tr w14:paraId="618C7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D97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一、营业总收入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B2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EEBC98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197,823,237,698.86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188C8FD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186,031,864,804.57</w:t>
            </w:r>
          </w:p>
        </w:tc>
      </w:tr>
      <w:tr w14:paraId="07262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82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其中:营业收入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B06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7652284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197,823,237,698.86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15FC7B4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186,031,864,804.57</w:t>
            </w:r>
          </w:p>
        </w:tc>
      </w:tr>
      <w:tr w14:paraId="08C3C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1D9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△利息收入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F1E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37665B5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4B1B90E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 xml:space="preserve"> -   </w:t>
            </w:r>
          </w:p>
        </w:tc>
      </w:tr>
      <w:tr w14:paraId="2ED09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D44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△保险服务收入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DFE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308C81C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7D3440F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-</w:t>
            </w:r>
          </w:p>
        </w:tc>
      </w:tr>
      <w:tr w14:paraId="2B16C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F6D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▲已赚保费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ECB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3CCD3AA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AE67C4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 xml:space="preserve"> -   </w:t>
            </w:r>
          </w:p>
        </w:tc>
      </w:tr>
      <w:tr w14:paraId="73986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B3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△手续费及佣金收入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944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4BBC363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491F76D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 xml:space="preserve"> -   </w:t>
            </w:r>
          </w:p>
        </w:tc>
      </w:tr>
      <w:tr w14:paraId="7635B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42D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二、营业总成本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0A7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68B2DE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192,105,909,910.22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1CC4937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178,443,331,988.06</w:t>
            </w:r>
          </w:p>
        </w:tc>
      </w:tr>
      <w:tr w14:paraId="47080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A5C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其中：营业成本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86F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ACFCF7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182,743,355,539.48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01F290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169,960,217,275.97</w:t>
            </w:r>
          </w:p>
        </w:tc>
      </w:tr>
      <w:tr w14:paraId="2BBB9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42F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△利息支出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A96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65C383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31A0A13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</w:tr>
      <w:tr w14:paraId="76DD5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ED1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△手续费及佣金支出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8F4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20FB25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75503CC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</w:tr>
      <w:tr w14:paraId="66D9D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3D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△保险服务费用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EA9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8ACEFC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8BEBFE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</w:tr>
      <w:tr w14:paraId="25B79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98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△分出保费的分摊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61B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72BBF04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2FFDFA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</w:tr>
      <w:tr w14:paraId="44A44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61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△减：摊回保险服务费用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109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3A884E4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66C3D13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</w:tr>
      <w:tr w14:paraId="04BAA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A2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△承保财务损失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F59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2DDC04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1DE4FD5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</w:tr>
      <w:tr w14:paraId="54EF1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872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△减：分出再保险财务收益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34A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0858CE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3104359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</w:tr>
      <w:tr w14:paraId="1EEF3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E25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▲退保金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C3D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4631B3F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5F9906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</w:tr>
      <w:tr w14:paraId="4BDD7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27A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▲赔付支出净额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F9F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61F6200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6F3BEF9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</w:tr>
      <w:tr w14:paraId="33181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308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▲提取保险责任准备金净额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D06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CDADEF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1F5317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</w:tr>
      <w:tr w14:paraId="4DBD3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BA7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▲保单红利支出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FB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4564DBF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69E2D49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</w:tr>
      <w:tr w14:paraId="6352E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6A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▲分保费用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C2F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F8DBFB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F61272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</w:tr>
      <w:tr w14:paraId="27A86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1CB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税金及附加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37E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2AA203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806,273,912.97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696D914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802,705,358.88</w:t>
            </w:r>
          </w:p>
        </w:tc>
      </w:tr>
      <w:tr w14:paraId="55316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100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销售费用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8AC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4B08558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109,097,586.16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395D21D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93,495,622.97</w:t>
            </w:r>
          </w:p>
        </w:tc>
      </w:tr>
      <w:tr w14:paraId="40AA6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69F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管理费用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92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2BBB22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4,851,000,688.29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1DB5FF1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4,837,071,682.18</w:t>
            </w:r>
          </w:p>
        </w:tc>
      </w:tr>
      <w:tr w14:paraId="79B99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D23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研发费用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0D8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1D83FAD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561,152,945.34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17D22AE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473,691,734.40</w:t>
            </w:r>
          </w:p>
        </w:tc>
      </w:tr>
      <w:tr w14:paraId="3A707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FF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财务费用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05D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1752D21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3,035,029,237.98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7C6E0B6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2,276,150,313.66</w:t>
            </w:r>
          </w:p>
        </w:tc>
      </w:tr>
      <w:tr w14:paraId="0CC9F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078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其中：利息费用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3B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2EF321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3,131,230,631.51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4CC4DCB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3,284,739,071.80</w:t>
            </w:r>
          </w:p>
        </w:tc>
      </w:tr>
      <w:tr w14:paraId="31892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FFF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利息收入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9B31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66F5F93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261,772,516.29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63D7064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1,212,664,934.71</w:t>
            </w:r>
          </w:p>
        </w:tc>
      </w:tr>
      <w:tr w14:paraId="16D26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156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汇兑净损失（净收益以“-”号填列）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4D6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1368A4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52,115,495.27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709D735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90,643,557.41</w:t>
            </w:r>
          </w:p>
        </w:tc>
      </w:tr>
      <w:tr w14:paraId="0EA02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2EE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其他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900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65708DD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F354FF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 xml:space="preserve"> -   </w:t>
            </w:r>
          </w:p>
        </w:tc>
      </w:tr>
      <w:tr w14:paraId="3F7F0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E6C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加：其他收益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6DF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08615F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454,686,649.08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1E3C9A6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372,037,737.54</w:t>
            </w:r>
          </w:p>
        </w:tc>
      </w:tr>
      <w:tr w14:paraId="657C0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0D1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投资收益（损失以“－”号填列）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1A9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7FD06E0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2,440,239,278.06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3E2FB7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3,191,234,155.91</w:t>
            </w:r>
          </w:p>
        </w:tc>
      </w:tr>
      <w:tr w14:paraId="372B3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5ED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其中：对联营企业和合营企业的投资收益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78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5BF387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2,023,342,050.22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AD7337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2,187,387,056.28</w:t>
            </w:r>
          </w:p>
        </w:tc>
      </w:tr>
      <w:tr w14:paraId="7603F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43F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以摊余成本计量的金融资产终止确认收益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2821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499C3C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-3,123,799.70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D5FEB2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2,889,508.02</w:t>
            </w:r>
          </w:p>
        </w:tc>
      </w:tr>
      <w:tr w14:paraId="1D362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C7A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△汇兑收益（损失以“-”号填列）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3E7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42C90F1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4E7778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 xml:space="preserve"> -   </w:t>
            </w:r>
          </w:p>
        </w:tc>
      </w:tr>
      <w:tr w14:paraId="369E8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43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净敞口套期收益（损失以“-”号填列）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ED3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37526E8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3C57BE5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 xml:space="preserve"> -   </w:t>
            </w:r>
          </w:p>
        </w:tc>
      </w:tr>
      <w:tr w14:paraId="75C50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28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公允价值变动收益（损失以“-”号填列）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7FB4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6291975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322,942,479.39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19549E8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170,243,245.68</w:t>
            </w:r>
          </w:p>
        </w:tc>
      </w:tr>
      <w:tr w14:paraId="2D628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A1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信用减值损失（损失以“-”号填列）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25EC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30411A6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285,097,773.60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76895FD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-471,284,676.71</w:t>
            </w:r>
          </w:p>
        </w:tc>
      </w:tr>
      <w:tr w14:paraId="5810A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A93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资产减值损失（损失以“-”号填列）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1AE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90CDD6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-222,146,173.57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72149B8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-237,784,345.54</w:t>
            </w:r>
          </w:p>
        </w:tc>
      </w:tr>
      <w:tr w14:paraId="7D2D9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C34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资产处置收益（损失以“-”号填列）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4A5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699066F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1,329,960,577.88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3D98513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1,190,967,515.50</w:t>
            </w:r>
          </w:p>
        </w:tc>
      </w:tr>
      <w:tr w14:paraId="18E88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BA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三、营业利润（亏损以“－”号填列）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8C2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2283A9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10,328,108,373.08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076B18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11,803,946,448.89</w:t>
            </w:r>
          </w:p>
        </w:tc>
      </w:tr>
      <w:tr w14:paraId="6DA38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484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加：营业外收入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47D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1DC9F57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280,962,106.22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A82095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352,119,325.63</w:t>
            </w:r>
          </w:p>
        </w:tc>
      </w:tr>
      <w:tr w14:paraId="66777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09C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其中：政府补助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E4B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4995450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6863CC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685,643.22</w:t>
            </w:r>
          </w:p>
        </w:tc>
      </w:tr>
      <w:tr w14:paraId="5388B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5A1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减：营业外支出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BA3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1905CD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197,243,233.20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2A10DC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245,023,715.23</w:t>
            </w:r>
          </w:p>
        </w:tc>
      </w:tr>
      <w:tr w14:paraId="43665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319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四、利润总额（亏损总额以“－”号填列）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EBE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7B14E1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10,411,827,246.10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3AD3D6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11,911,042,059.29</w:t>
            </w:r>
          </w:p>
        </w:tc>
      </w:tr>
      <w:tr w14:paraId="2674B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2B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减：所得税费用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2C1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FE6065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2,523,777,358.74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3F697AF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2,606,857,388.64</w:t>
            </w:r>
          </w:p>
        </w:tc>
      </w:tr>
      <w:tr w14:paraId="23B35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ADB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五、净利润（净亏损以“－”号填列）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0E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6C251F4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7,888,049,887.36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1D9D64C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9,304,184,670.65</w:t>
            </w:r>
          </w:p>
        </w:tc>
      </w:tr>
      <w:tr w14:paraId="6F788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DF1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（一）按所有权归属分类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B5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114F1C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——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7EF2C22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——</w:t>
            </w:r>
          </w:p>
        </w:tc>
      </w:tr>
      <w:tr w14:paraId="01DB0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0C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归属于母公司所有者的净利润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5B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E1DAA4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4,675,671,141.52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3024DB0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5,429,758,079.17</w:t>
            </w:r>
          </w:p>
        </w:tc>
      </w:tr>
      <w:tr w14:paraId="22C1B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2B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*少数股东损益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AB7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012B5B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3,212,378,745.84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E525DB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3,874,426,591.48</w:t>
            </w:r>
          </w:p>
        </w:tc>
      </w:tr>
      <w:tr w14:paraId="3307D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B9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（二）按经营持续性分类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8C1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66A5EA2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——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636F32A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——</w:t>
            </w:r>
          </w:p>
        </w:tc>
      </w:tr>
      <w:tr w14:paraId="58B76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16F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持续经营净利润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FAA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4A966A0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7,888,049,887.36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634043F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>9,304,184,670.65</w:t>
            </w:r>
          </w:p>
        </w:tc>
      </w:tr>
      <w:tr w14:paraId="6E9E0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81B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终止经营净利润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665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3A57643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  <w:lang w:val="en-US" w:eastAsia="zh-CN"/>
              </w:rPr>
              <w:t>-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1A44EA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24"/>
              </w:rPr>
              <w:t xml:space="preserve"> -   </w:t>
            </w:r>
          </w:p>
        </w:tc>
      </w:tr>
    </w:tbl>
    <w:p w14:paraId="0BD8A5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楷体_GB2312" w:cs="楷体_GB2312"/>
          <w:color w:val="auto"/>
          <w:sz w:val="32"/>
          <w:szCs w:val="32"/>
          <w:lang w:val="en-US" w:eastAsia="zh-CN"/>
        </w:rPr>
        <w:t>（三）审计报告的意见类型</w:t>
      </w:r>
    </w:p>
    <w:p w14:paraId="6B9F27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集团公司2025年财务决算审计的中介机构为信永中和会计师事务所(特殊普通合伙)，出具的年度报告审计意见类型为标准无保留意见。</w:t>
      </w:r>
    </w:p>
    <w:p w14:paraId="3944075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 w:cs="Times New Roman"/>
          <w:color w:val="auto"/>
          <w:sz w:val="32"/>
          <w:szCs w:val="32"/>
          <w:lang w:val="en-US" w:eastAsia="zh-CN"/>
        </w:rPr>
        <w:t>三、董</w:t>
      </w:r>
      <w:r>
        <w:rPr>
          <w:rFonts w:hint="eastAsia" w:ascii="宋体" w:hAnsi="宋体" w:eastAsia="黑体" w:cs="Times New Roman"/>
          <w:color w:val="auto"/>
          <w:sz w:val="32"/>
          <w:szCs w:val="32"/>
          <w:highlight w:val="none"/>
          <w:lang w:val="en-US" w:eastAsia="zh-CN"/>
        </w:rPr>
        <w:t>事会报告摘要</w:t>
      </w:r>
    </w:p>
    <w:p w14:paraId="25AE19B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楷体_GB2312" w:cs="楷体_GB2312"/>
          <w:color w:val="auto"/>
          <w:sz w:val="32"/>
          <w:szCs w:val="32"/>
          <w:lang w:val="en-US" w:eastAsia="zh-CN"/>
        </w:rPr>
        <w:t>（一）董事会对集团公司报告期内总体经营情况的分析</w:t>
      </w:r>
    </w:p>
    <w:p w14:paraId="16753A6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1.经营情况综述：全年实现营业总收入1,978.23亿元，实现利润总额104.12亿元，实现净利润78.88亿元。</w:t>
      </w:r>
    </w:p>
    <w:p w14:paraId="4E65AAC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2.资产负债情况分析：资产总额3,018.19亿元，资产负债率60.64%。</w:t>
      </w:r>
    </w:p>
    <w:p w14:paraId="1E2ABC9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截至2025年12月31日，存续债券余额193.2亿元(含永续票据)，2025年新发行债券126亿元，归还债券63亿元。</w:t>
      </w:r>
    </w:p>
    <w:p w14:paraId="5C23B9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楷体_GB2312" w:cs="楷体_GB2312"/>
          <w:color w:val="auto"/>
          <w:sz w:val="32"/>
          <w:szCs w:val="32"/>
          <w:lang w:val="en-US" w:eastAsia="zh-CN"/>
        </w:rPr>
        <w:t>（二）国企改革深化提升行动开展情况</w:t>
      </w:r>
    </w:p>
    <w:p w14:paraId="7CA6219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集团公司深入贯彻落实国企改革深化提升行动有关要求，聚焦科技创新、产业控制、安全支撑，用好改革“关键一招”，全面深化改革创新，截至2025年底，深化改革提升行动主体任务圆满收官，改革经验被上级多次在全国、全省范围推广，入选国务院国资委案例集，并被评为“山东省省域改革十大案例”</w:t>
      </w:r>
    </w:p>
    <w:p w14:paraId="68FA642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8" w:lineRule="exact"/>
        <w:ind w:firstLine="640" w:firstLineChars="200"/>
        <w:textAlignment w:val="auto"/>
        <w:rPr>
          <w:rFonts w:hint="eastAsia" w:ascii="宋体" w:hAnsi="宋体" w:eastAsia="黑体"/>
          <w:b w:val="0"/>
          <w:bCs w:val="0"/>
          <w:color w:val="auto"/>
          <w:sz w:val="32"/>
          <w:szCs w:val="32"/>
          <w:u w:val="none"/>
        </w:rPr>
      </w:pPr>
      <w:r>
        <w:rPr>
          <w:rFonts w:hint="eastAsia" w:ascii="宋体" w:hAnsi="宋体" w:eastAsia="黑体"/>
          <w:b w:val="0"/>
          <w:bCs w:val="0"/>
          <w:color w:val="auto"/>
          <w:sz w:val="32"/>
          <w:szCs w:val="32"/>
          <w:u w:val="none"/>
        </w:rPr>
        <w:t>四、</w:t>
      </w:r>
      <w:bookmarkStart w:id="1" w:name="_Hlk75542285"/>
      <w:r>
        <w:rPr>
          <w:rFonts w:hint="eastAsia" w:ascii="宋体" w:hAnsi="宋体" w:eastAsia="黑体"/>
          <w:b w:val="0"/>
          <w:bCs w:val="0"/>
          <w:color w:val="auto"/>
          <w:sz w:val="32"/>
          <w:szCs w:val="32"/>
          <w:u w:val="none"/>
        </w:rPr>
        <w:t>集团</w:t>
      </w:r>
      <w:r>
        <w:rPr>
          <w:rFonts w:hint="eastAsia" w:ascii="宋体" w:hAnsi="宋体" w:eastAsia="黑体"/>
          <w:b w:val="0"/>
          <w:bCs w:val="0"/>
          <w:color w:val="auto"/>
          <w:sz w:val="32"/>
          <w:szCs w:val="32"/>
          <w:u w:val="none"/>
          <w:lang w:val="en-US" w:eastAsia="zh-CN"/>
        </w:rPr>
        <w:t>公司</w:t>
      </w:r>
      <w:r>
        <w:rPr>
          <w:rFonts w:hint="eastAsia" w:ascii="宋体" w:hAnsi="宋体" w:eastAsia="黑体"/>
          <w:b w:val="0"/>
          <w:bCs w:val="0"/>
          <w:color w:val="auto"/>
          <w:sz w:val="32"/>
          <w:szCs w:val="32"/>
          <w:u w:val="none"/>
        </w:rPr>
        <w:t>董事、监事、高级管理人员的任职</w:t>
      </w:r>
      <w:bookmarkEnd w:id="1"/>
      <w:r>
        <w:rPr>
          <w:rFonts w:hint="eastAsia" w:ascii="宋体" w:hAnsi="宋体" w:eastAsia="黑体"/>
          <w:b w:val="0"/>
          <w:bCs w:val="0"/>
          <w:color w:val="auto"/>
          <w:sz w:val="32"/>
          <w:szCs w:val="32"/>
          <w:u w:val="none"/>
        </w:rPr>
        <w:t>和</w:t>
      </w:r>
      <w:bookmarkStart w:id="2" w:name="_Hlk75542371"/>
      <w:r>
        <w:rPr>
          <w:rFonts w:hint="eastAsia" w:ascii="宋体" w:hAnsi="宋体" w:eastAsia="黑体"/>
          <w:b w:val="0"/>
          <w:bCs w:val="0"/>
          <w:color w:val="auto"/>
          <w:sz w:val="32"/>
          <w:szCs w:val="32"/>
          <w:u w:val="none"/>
        </w:rPr>
        <w:t>薪酬</w:t>
      </w:r>
      <w:bookmarkEnd w:id="2"/>
      <w:r>
        <w:rPr>
          <w:rFonts w:hint="eastAsia" w:ascii="宋体" w:hAnsi="宋体" w:eastAsia="黑体"/>
          <w:b w:val="0"/>
          <w:bCs w:val="0"/>
          <w:color w:val="auto"/>
          <w:sz w:val="32"/>
          <w:szCs w:val="32"/>
          <w:u w:val="none"/>
        </w:rPr>
        <w:t>情况、</w:t>
      </w:r>
      <w:bookmarkStart w:id="3" w:name="_Hlk75542454"/>
      <w:r>
        <w:rPr>
          <w:rFonts w:hint="eastAsia" w:ascii="宋体" w:hAnsi="宋体" w:eastAsia="黑体"/>
          <w:b w:val="0"/>
          <w:bCs w:val="0"/>
          <w:color w:val="auto"/>
          <w:sz w:val="32"/>
          <w:szCs w:val="32"/>
          <w:u w:val="none"/>
        </w:rPr>
        <w:t>经营业绩考核结果</w:t>
      </w:r>
      <w:bookmarkEnd w:id="3"/>
      <w:r>
        <w:rPr>
          <w:rFonts w:hint="eastAsia" w:ascii="宋体" w:hAnsi="宋体" w:eastAsia="黑体"/>
          <w:b w:val="0"/>
          <w:bCs w:val="0"/>
          <w:color w:val="auto"/>
          <w:sz w:val="32"/>
          <w:szCs w:val="32"/>
          <w:u w:val="none"/>
        </w:rPr>
        <w:t>情况、企业领导人员经济责任履职情况</w:t>
      </w:r>
    </w:p>
    <w:p w14:paraId="503658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楷体_GB2312" w:cs="楷体_GB2312"/>
          <w:color w:val="auto"/>
          <w:sz w:val="32"/>
          <w:szCs w:val="32"/>
          <w:u w:val="none"/>
          <w:lang w:val="en-US" w:eastAsia="zh-CN"/>
        </w:rPr>
        <w:t>（一）集团公司董事、监事、高级管理人员任职和薪酬情况</w:t>
      </w:r>
    </w:p>
    <w:p w14:paraId="1D35CD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2025年1月16日，曹凯任集团公司外部董事（专职）；</w:t>
      </w:r>
    </w:p>
    <w:p w14:paraId="73F4B9A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2025年1月16日，何晓伟任集团公司财务总监；</w:t>
      </w:r>
    </w:p>
    <w:p w14:paraId="6A23FD8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2025年6月20日，贾福宁不再担任集团公司党委常委、副总经理；</w:t>
      </w:r>
    </w:p>
    <w:p w14:paraId="0E1C6C9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2025年10月24日，苏建光任集团公司党委常委、副总经理；</w:t>
      </w:r>
    </w:p>
    <w:p w14:paraId="2361780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2025年10月24日，马德亮不再担任集团公司党委常委、副总经理；</w:t>
      </w:r>
    </w:p>
    <w:p w14:paraId="07CFFA4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省国资委尚未核定集团公司负责人报告期内薪酬，待核定后及时公开。</w:t>
      </w:r>
    </w:p>
    <w:p w14:paraId="1A52E0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楷体_GB2312" w:cs="楷体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楷体_GB2312" w:cs="楷体_GB2312"/>
          <w:color w:val="auto"/>
          <w:sz w:val="32"/>
          <w:szCs w:val="32"/>
          <w:u w:val="none"/>
          <w:lang w:val="en-US" w:eastAsia="zh-CN"/>
        </w:rPr>
        <w:t>（二）经营业绩考核结果情况</w:t>
      </w:r>
    </w:p>
    <w:p w14:paraId="0AB3A1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省委考核办尚未公布省管企业负责人2025年度高质量发展绩效考核结果。</w:t>
      </w:r>
    </w:p>
    <w:p w14:paraId="64E14A0D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楷体_GB2312" w:cs="楷体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楷体_GB2312" w:cs="楷体_GB2312"/>
          <w:color w:val="auto"/>
          <w:sz w:val="32"/>
          <w:szCs w:val="32"/>
          <w:u w:val="none"/>
          <w:lang w:val="en-US" w:eastAsia="zh-CN"/>
        </w:rPr>
        <w:t>（三）企业领导人员经济责任履职情况</w:t>
      </w:r>
    </w:p>
    <w:p w14:paraId="65B083B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集团公司迎接省审计厅关于省属企业投资“一带一路”沿线国家资产安全和效益情况专项审计调查工作，省审计厅共提出4项问题。针对薄弱环节，集团公司举一反三，全面强化基础管理，目前相关问题已全部完成整改。</w:t>
      </w:r>
    </w:p>
    <w:p w14:paraId="53DC6B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黑体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黑体" w:cs="Times New Roman"/>
          <w:color w:val="auto"/>
          <w:sz w:val="32"/>
          <w:szCs w:val="32"/>
          <w:highlight w:val="none"/>
          <w:u w:val="none"/>
          <w:lang w:val="en-US" w:eastAsia="zh-CN"/>
        </w:rPr>
        <w:t>五、政府扶持政策的信息</w:t>
      </w:r>
    </w:p>
    <w:p w14:paraId="0C892B4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报告期内，集团公司及其子公司其他收益中列示的财政补贴共计4.13亿元，营业外收入中列示的政府补助为0元。</w:t>
      </w:r>
    </w:p>
    <w:p w14:paraId="2A7498A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黑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黑体" w:cs="Times New Roman"/>
          <w:color w:val="auto"/>
          <w:sz w:val="32"/>
          <w:szCs w:val="32"/>
          <w:highlight w:val="none"/>
          <w:lang w:val="en-US" w:eastAsia="zh-CN"/>
        </w:rPr>
        <w:t>六、重要事项</w:t>
      </w:r>
    </w:p>
    <w:p w14:paraId="48BB6B2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楷体_GB2312" w:cs="楷体_GB2312"/>
          <w:color w:val="auto"/>
          <w:sz w:val="32"/>
          <w:szCs w:val="32"/>
        </w:rPr>
      </w:pPr>
      <w:r>
        <w:rPr>
          <w:rFonts w:hint="eastAsia" w:ascii="宋体" w:hAnsi="宋体" w:eastAsia="楷体_GB2312" w:cs="楷体_GB2312"/>
          <w:color w:val="auto"/>
          <w:sz w:val="32"/>
          <w:szCs w:val="32"/>
        </w:rPr>
        <w:t>（</w:t>
      </w:r>
      <w:r>
        <w:rPr>
          <w:rFonts w:hint="eastAsia" w:ascii="宋体" w:hAnsi="宋体" w:eastAsia="楷体_GB2312" w:cs="楷体_GB2312"/>
          <w:color w:val="auto"/>
          <w:sz w:val="32"/>
          <w:szCs w:val="32"/>
          <w:lang w:val="en-US" w:eastAsia="zh-CN"/>
        </w:rPr>
        <w:t>一</w:t>
      </w:r>
      <w:r>
        <w:rPr>
          <w:rFonts w:hint="eastAsia" w:ascii="宋体" w:hAnsi="宋体" w:eastAsia="楷体_GB2312" w:cs="楷体_GB2312"/>
          <w:color w:val="auto"/>
          <w:sz w:val="32"/>
          <w:szCs w:val="32"/>
        </w:rPr>
        <w:t xml:space="preserve">）报告期内发生的重大事项及对企业的影响 </w:t>
      </w:r>
    </w:p>
    <w:p w14:paraId="63950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ascii="宋体" w:hAnsi="宋体" w:eastAsia="仿宋_GB2312" w:cs="仿宋_GB2312"/>
          <w:color w:val="auto"/>
          <w:sz w:val="32"/>
          <w:szCs w:val="32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无相关情况</w:t>
      </w:r>
      <w:r>
        <w:rPr>
          <w:rFonts w:ascii="宋体" w:hAnsi="宋体" w:eastAsia="仿宋_GB2312" w:cs="仿宋_GB2312"/>
          <w:color w:val="auto"/>
          <w:sz w:val="32"/>
          <w:szCs w:val="32"/>
        </w:rPr>
        <w:t>。</w:t>
      </w:r>
    </w:p>
    <w:p w14:paraId="3D56BF5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楷体_GB2312" w:cs="楷体_GB2312"/>
          <w:color w:val="auto"/>
          <w:sz w:val="32"/>
          <w:szCs w:val="32"/>
          <w:highlight w:val="none"/>
          <w:lang w:val="en-US" w:eastAsia="zh-CN"/>
        </w:rPr>
        <w:t>“三重一大”有关事项</w:t>
      </w:r>
    </w:p>
    <w:p w14:paraId="0F69BE3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1.有关重大决策</w:t>
      </w:r>
    </w:p>
    <w:p w14:paraId="4A3432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集团公司重大决策事项，均通过召开党委常委会、董事会会议等集体研究决定。2025年，召开党委常委会会议41次，召开董事会会议21次。</w:t>
      </w:r>
    </w:p>
    <w:p w14:paraId="7688ED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2.有关重大人事任免</w:t>
      </w:r>
    </w:p>
    <w:p w14:paraId="4AFF87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（1）2025年度领导班子变动情况。</w:t>
      </w:r>
    </w:p>
    <w:p w14:paraId="16A9028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2025年6月20日，贾福宁不再担任集团公司党委常委、副总经理；</w:t>
      </w:r>
    </w:p>
    <w:p w14:paraId="1D36B89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2025年10月24日，苏建光任集团公司党委常委、副总经理；</w:t>
      </w:r>
    </w:p>
    <w:p w14:paraId="4DC11B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2025年10月24日，马德亮不再担任集团公司党委常委、副总经理。</w:t>
      </w:r>
    </w:p>
    <w:p w14:paraId="5CF962E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（2）2025年度中层管理人员情况。</w:t>
      </w:r>
    </w:p>
    <w:p w14:paraId="272D4F0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Hans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Hans"/>
        </w:rPr>
        <w:t>202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Hans"/>
        </w:rPr>
        <w:t>年，根据工作需要，调整中层管理人员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Hans"/>
        </w:rPr>
        <w:t>人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次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Hans"/>
        </w:rPr>
        <w:t>，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均为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Hans"/>
        </w:rPr>
        <w:t>进一步使用。</w:t>
      </w:r>
    </w:p>
    <w:p w14:paraId="3CD5603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Hans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Hans"/>
        </w:rPr>
        <w:t>3.有关重大项目安排及境外投资情况</w:t>
      </w:r>
    </w:p>
    <w:p w14:paraId="2B951C6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集团公司全年完成总投资335.67亿元（含境外投资4.03亿元），其中，完成固定资产投资185.42亿元，占比55.2%；完成长期股权投资150.26亿元，占比44.8%。</w:t>
      </w:r>
    </w:p>
    <w:p w14:paraId="3F2DED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4.大额资金的调度及使用情况</w:t>
      </w:r>
    </w:p>
    <w:p w14:paraId="4259AA7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集团公司大额资金使用严格履行“三重一大”决策程序，依托司库体系实现资金流动全流程可视可溯，严格防范资金风险。纳入全面预算刚性管控，坚持“有预算不超支，无预算不开支”原则，未纳入年度预算的大额支出，严格履行预算追加审批手续，确保资金调度规范、安全、高效。</w:t>
      </w:r>
    </w:p>
    <w:p w14:paraId="1261E3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楷体_GB2312" w:cs="楷体_GB2312"/>
          <w:color w:val="auto"/>
          <w:sz w:val="32"/>
          <w:szCs w:val="32"/>
          <w:lang w:val="en-US" w:eastAsia="zh-CN"/>
        </w:rPr>
        <w:t>（三）重要关联交易事项</w:t>
      </w:r>
    </w:p>
    <w:p w14:paraId="177FD9C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报告期内，集团公司与合营及联营企业发生购买商品或接受劳务共计21.03亿元，占比1.15%；与其他关联关系方发生购买商品或接受劳务共计6.93亿元，占比0.38%。与合营及联营企业发生销售商品或提供劳务共计32.08亿元，占比1.62%；与其他关联关系方发生销售商品或提供劳务共计19.99亿元，占比1.01%。</w:t>
      </w:r>
    </w:p>
    <w:p w14:paraId="65AA5F7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8" w:lineRule="exact"/>
        <w:ind w:firstLine="640" w:firstLineChars="200"/>
        <w:textAlignment w:val="auto"/>
        <w:rPr>
          <w:rFonts w:hint="eastAsia" w:ascii="宋体" w:hAnsi="宋体" w:eastAsia="黑体"/>
          <w:b w:val="0"/>
          <w:bCs w:val="0"/>
          <w:color w:val="auto"/>
          <w:sz w:val="32"/>
          <w:szCs w:val="32"/>
        </w:rPr>
      </w:pPr>
      <w:r>
        <w:rPr>
          <w:rFonts w:hint="eastAsia" w:ascii="宋体" w:hAnsi="宋体" w:eastAsia="黑体"/>
          <w:b w:val="0"/>
          <w:bCs w:val="0"/>
          <w:color w:val="auto"/>
          <w:sz w:val="32"/>
          <w:szCs w:val="32"/>
          <w:lang w:val="en-US" w:eastAsia="zh-CN"/>
        </w:rPr>
        <w:t>七</w:t>
      </w:r>
      <w:r>
        <w:rPr>
          <w:rFonts w:hint="eastAsia" w:ascii="宋体" w:hAnsi="宋体" w:eastAsia="黑体"/>
          <w:b w:val="0"/>
          <w:bCs w:val="0"/>
          <w:color w:val="auto"/>
          <w:sz w:val="32"/>
          <w:szCs w:val="32"/>
        </w:rPr>
        <w:t>、社会责任的履行</w:t>
      </w:r>
    </w:p>
    <w:p w14:paraId="244567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楷体_GB2312" w:cs="楷体_GB2312"/>
          <w:color w:val="auto"/>
          <w:sz w:val="32"/>
          <w:szCs w:val="32"/>
          <w:highlight w:val="none"/>
          <w:lang w:val="en-US" w:eastAsia="zh-CN"/>
        </w:rPr>
        <w:t>（一）职工劳动合同的签订、履行等劳动法律法规的遵守和执行情况</w:t>
      </w:r>
    </w:p>
    <w:p w14:paraId="07065A3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集团公司全年劳动合同签订率100％，全部依法依规履行相关手续。始终坚持以人为本，严格执行劳动保障法律法规，充分保障员工的劳动、休息休假、工资待遇、社会保险等合法权益，积极构建和谐稳定的劳动关系。</w:t>
      </w:r>
    </w:p>
    <w:p w14:paraId="51D339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楷体_GB2312" w:cs="楷体_GB2312"/>
          <w:color w:val="auto"/>
          <w:sz w:val="32"/>
          <w:szCs w:val="32"/>
          <w:highlight w:val="none"/>
          <w:lang w:val="en-US" w:eastAsia="zh-CN"/>
        </w:rPr>
        <w:t>（二）人才引进、职工招聘、职工培训等人才队伍建设情况</w:t>
      </w:r>
    </w:p>
    <w:p w14:paraId="676693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Hans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自主培养泰山产业技能领军人才、齐鲁首席技师等省级以上人才29人。年度创建市级以上人才创新平台载体23个，其中国家级高技能人才培训基地、国家级博士后科研工作站、国家级人工智能应用中试基地等国家级平台载体3个,齐鲁技能大师特色工作站、省博士后创新实践基地等省级平台载体12个，港口智能技术工程研究中心、智慧绿色港口重点实验室等市级平台载体8个。通过校园招聘录用1389人，通过社会招聘录用81人。共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Hans"/>
        </w:rPr>
        <w:t>开展各类培训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1700余项，培训39.7万人次，其中管理人员培训3.6万人次，专业技术人员培训8.7万人次，操作技能人员培训5.9万人次，党员教育培训2万人次，全员素质提升培训19.5万人次。</w:t>
      </w:r>
    </w:p>
    <w:p w14:paraId="675053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楷体_GB2312" w:cs="楷体_GB2312"/>
          <w:color w:val="auto"/>
          <w:sz w:val="32"/>
          <w:szCs w:val="32"/>
          <w:highlight w:val="none"/>
          <w:lang w:val="en-US" w:eastAsia="zh-CN"/>
        </w:rPr>
        <w:t>（三）职工劳动、安全及卫生保护情况</w:t>
      </w:r>
    </w:p>
    <w:p w14:paraId="165139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集团公司严格按照国家有关规定，落实安全生产、职业健康各项要求。深入推进安全生产治本攻坚三年行动，强化基层基础建设，全面实施“手指口述”安全确认法，严格落实“1246”一线工作法，组建80人内训师队伍，分领域编制安全培训教材。强化重大风险管控，实施储罐本质安全提升行动，对危险货物储罐建立“一罐一档”、应用“四个系统”，确保设施完好在用；强化重大隐患整治，部署开展暑期汛期重大风险、道路交通、大型机械防风等专项检查，加大典型隐患通报力度，修订生产安全事故责任追究考核办法，开展“反违章、遏事故”专项整治，持续营造严管重罚氛围。强化应急能力建设，系统梳理应急演练情景，逐项明确处置流程、处置要点。严格职业危害因素检测，加强职业病危害防护设施维护和使用管理，预防、控制和消除职业危害，保护职工健康。</w:t>
      </w:r>
    </w:p>
    <w:p w14:paraId="17AA01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楷体_GB2312" w:cs="楷体_GB2312"/>
          <w:color w:val="auto"/>
          <w:sz w:val="32"/>
          <w:szCs w:val="32"/>
          <w:highlight w:val="none"/>
          <w:lang w:val="en-US" w:eastAsia="zh-CN"/>
        </w:rPr>
        <w:t>（四）企业开展的环境治理及保护情况</w:t>
      </w:r>
    </w:p>
    <w:p w14:paraId="3EFC26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集团公司以“双碳”目标为引领，深入贯彻绿色发展理念，推进降碳、减污协同增效，全面加快能源结构优化升级。加快推动绿色低碳转型，6台风机并网，光伏建设规模达80万平方米，绿电发电量突破1.2亿度；建成换电站20座、充电桩520余个，大力推进岸电常态化使用，实现非油气化工泊位岸电设施全覆盖，充换电量和岸电接电量总计突破1.3亿度。巩固污染防治攻坚成果，全面推广油气回收“一船一确认”、散货抑尘剂使用溯源等做法，港区环境空气质量持续稳定达标；强化污水收集、处置、回用闭环，试点引入海水淡化补充生产作业用水，强化非传统水源利用。打造绿色低碳港口新典范，完善多元化零碳示范路径，获评“美丽中国、先锋企业”，新增5家绿色港口，青岛港前湾南港区获评全国首批集装箱“五星级”绿色港区。</w:t>
      </w:r>
    </w:p>
    <w:p w14:paraId="17160EE4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textAlignment w:val="auto"/>
        <w:rPr>
          <w:rFonts w:hint="eastAsia" w:ascii="宋体" w:hAnsi="宋体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楷体_GB2312" w:cs="楷体_GB2312"/>
          <w:color w:val="auto"/>
          <w:sz w:val="32"/>
          <w:szCs w:val="32"/>
          <w:highlight w:val="none"/>
          <w:lang w:val="en-US" w:eastAsia="zh-CN"/>
        </w:rPr>
        <w:t>（五）企业提供安全的产品和服务，遵守商业道德情况</w:t>
      </w:r>
    </w:p>
    <w:p w14:paraId="1B6B4B8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持续加强ESG管理，不断完善ESG管理体系，实现了直属单位ESG报告编制发布全覆盖。集团公司成立以来，积极参与社会主义信用体系建设，遵守商业道德，不断完善自身信用体系，荣获“2025中国企业信用500强”“2025中国服务业企业信用100强”两项殊荣，分别比2024年排名提升192位、50位。</w:t>
      </w:r>
    </w:p>
    <w:p w14:paraId="4B43578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深入践行习近平总书记“三个转变”重要论述，全面推进“品牌强港”战略，将品牌建设贯穿于生产经营管理各领域各环节。集团公司持续强化“港无界 链全球”母品牌引领，拓展党建、服务、治理、文化、员工、责任六个维度，构建起由一个母品牌、六大维度及众多具体品牌构成的“1+6+N”品牌体系。在品牌建设成果方面，编撰形成《品牌的力量》品牌建设优秀案例集；在第七届交通运输优秀文化品牌推选宣传活动中，“红日照海港”获评“企业类十佳文化品牌”，“红色港湾 四海扬帆”等5个品牌获评优秀文化品牌；“</w:t>
      </w:r>
      <w:bookmarkStart w:id="4" w:name="_GoBack"/>
      <w:bookmarkEnd w:id="4"/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北方商品车中转枢纽服务”品牌入选“好品山东”；《山东港口：港通四海 逐梦丝路 奋楫扬帆启新程》等6个社会责任案例入选“省属企业履行社会责任十佳案例”“山东企业社会责任优秀案例”、国务院国资委《国资国企社会责任蓝皮书》，集团公司连续第六年获评“山东社会责任企业”。</w:t>
      </w:r>
    </w:p>
    <w:p w14:paraId="40003F99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both"/>
        <w:textAlignment w:val="auto"/>
        <w:rPr>
          <w:rFonts w:hint="eastAsia" w:ascii="宋体" w:hAnsi="宋体" w:cs="仿宋_GB2312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楷体_GB2312" w:cs="楷体_GB2312"/>
          <w:color w:val="auto"/>
          <w:sz w:val="32"/>
          <w:szCs w:val="32"/>
          <w:highlight w:val="none"/>
          <w:lang w:val="en-US" w:eastAsia="zh-CN"/>
        </w:rPr>
        <w:t>（六）对外大额捐赠、赞助情况</w:t>
      </w:r>
    </w:p>
    <w:p w14:paraId="4DACD9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Hans"/>
        </w:rPr>
        <w:t>集团公司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全年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Hans"/>
        </w:rPr>
        <w:t>累计对外捐赠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2247.76万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Hans"/>
        </w:rPr>
        <w:t>元，均为响应国家、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省委、省政府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Hans"/>
        </w:rPr>
        <w:t>及慈善组织号召进行的捐款，主要包括：集团公司向山东省慈善总会捐赠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Hans"/>
        </w:rPr>
        <w:t>00万元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，用于孤困儿童关爱基金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Hans"/>
        </w:rPr>
        <w:t>；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集团公司向省乡村振兴基金会捐赠260万元，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Hans"/>
        </w:rPr>
        <w:t>用于乡村振兴帮扶任务</w:t>
      </w: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，集团公司向山东省社会工作联合会捐赠100万元，用于保障和改善民生、助力乡村振兴。集团公司及有关直属单位共捐赠734.14万元，用于道路维修、环境提升、光伏发电民生工程等。</w:t>
      </w:r>
    </w:p>
    <w:p w14:paraId="10281631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both"/>
        <w:textAlignment w:val="auto"/>
        <w:rPr>
          <w:rFonts w:hint="eastAsia" w:ascii="宋体" w:hAnsi="宋体" w:eastAsia="黑体"/>
          <w:b w:val="0"/>
          <w:bCs w:val="0"/>
          <w:color w:val="auto"/>
          <w:sz w:val="32"/>
          <w:szCs w:val="32"/>
        </w:rPr>
      </w:pPr>
      <w:r>
        <w:rPr>
          <w:rFonts w:hint="eastAsia" w:ascii="宋体" w:hAnsi="宋体" w:eastAsia="黑体"/>
          <w:b w:val="0"/>
          <w:bCs w:val="0"/>
          <w:color w:val="auto"/>
          <w:sz w:val="32"/>
          <w:szCs w:val="32"/>
          <w:lang w:val="en-US" w:eastAsia="zh-CN"/>
        </w:rPr>
        <w:t>八</w:t>
      </w:r>
      <w:r>
        <w:rPr>
          <w:rFonts w:hint="eastAsia" w:ascii="宋体" w:hAnsi="宋体" w:eastAsia="黑体"/>
          <w:b w:val="0"/>
          <w:bCs w:val="0"/>
          <w:color w:val="auto"/>
          <w:sz w:val="32"/>
          <w:szCs w:val="32"/>
        </w:rPr>
        <w:t>、履职待遇及有关业务支出情况</w:t>
      </w:r>
    </w:p>
    <w:p w14:paraId="1020B53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Hans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  <w:t>2025年度企业负责人（含财务总监）公务交通补贴13.73万元</w:t>
      </w:r>
    </w:p>
    <w:p w14:paraId="3C734C86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ascii="宋体" w:hAnsi="宋体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ascii="宋体" w:hAnsi="宋体" w:eastAsia="黑体" w:cs="黑体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九、内部控制</w:t>
      </w:r>
    </w:p>
    <w:p w14:paraId="47958559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both"/>
        <w:textAlignment w:val="auto"/>
        <w:rPr>
          <w:rFonts w:hint="eastAsia" w:ascii="宋体" w:hAnsi="宋体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楷体_GB2312" w:cs="楷体_GB2312"/>
          <w:color w:val="auto"/>
          <w:sz w:val="32"/>
          <w:szCs w:val="32"/>
          <w:highlight w:val="none"/>
          <w:lang w:val="en-US" w:eastAsia="zh-CN"/>
        </w:rPr>
        <w:t>（一）内部控制责任声明</w:t>
      </w:r>
    </w:p>
    <w:p w14:paraId="53FF163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集团公司董事会对建立健全和有效实施内部控制负责。内部控制的目标是合理保证经营管理合法合规、资产安全、财务报告及相关信息真实完整，提高经营效率和效果，促进实现发展战略。由于内部控制存在的固有局限性，仅能为实现上述目标提供合理保证。集团公司已建立较为全面的内部控制及规范体系，管理进一步制度化、规范化。报告期内，集团公司董事会认真履行内部控制建立健全和有效实施职责。</w:t>
      </w:r>
    </w:p>
    <w:p w14:paraId="01171B65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both"/>
        <w:textAlignment w:val="auto"/>
        <w:rPr>
          <w:rFonts w:hint="eastAsia" w:ascii="宋体" w:hAnsi="宋体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楷体_GB2312" w:cs="楷体_GB2312"/>
          <w:color w:val="auto"/>
          <w:sz w:val="32"/>
          <w:szCs w:val="32"/>
          <w:highlight w:val="none"/>
          <w:lang w:val="en-US" w:eastAsia="zh-CN"/>
        </w:rPr>
        <w:t>（二）内部控制制度建设情况</w:t>
      </w:r>
    </w:p>
    <w:p w14:paraId="2307D56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集团公司严格按照《企业内部控制基本规范》《企业内部控制应用指引》《企业内部控制评价指引》的规定，规范完善了企业组织架构、发展战略、人力资源、社会责任、企业文化、风险控制、资金活动、采购业务、资产管理、工程项目、财务报告、全面预算、合同管理、信息与沟通等三百余项内部控制制度，实现了内部控制的规范有效。</w:t>
      </w:r>
    </w:p>
    <w:p w14:paraId="44525892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eastAsia" w:ascii="宋体" w:hAnsi="宋体" w:eastAsia="楷体_GB2312" w:cs="楷体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宋体" w:hAnsi="宋体" w:eastAsia="楷体_GB2312" w:cs="楷体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（三）内部控制审计报告</w:t>
      </w:r>
    </w:p>
    <w:p w14:paraId="410A74F1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ind w:left="0" w:firstLine="420" w:firstLineChars="200"/>
        <w:jc w:val="left"/>
        <w:textAlignment w:val="auto"/>
        <w:rPr>
          <w:rFonts w:hint="eastAsia" w:ascii="宋体" w:hAnsi="宋体" w:eastAsia="楷体_GB2312" w:cs="楷体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color w:val="auto"/>
        </w:rPr>
        <w:drawing>
          <wp:inline distT="0" distB="0" distL="114300" distR="114300">
            <wp:extent cx="5314950" cy="7867650"/>
            <wp:effectExtent l="0" t="0" r="0" b="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D5C6D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color w:val="auto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53975</wp:posOffset>
            </wp:positionH>
            <wp:positionV relativeFrom="paragraph">
              <wp:posOffset>36195</wp:posOffset>
            </wp:positionV>
            <wp:extent cx="5447665" cy="7972425"/>
            <wp:effectExtent l="0" t="0" r="635" b="9525"/>
            <wp:wrapNone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47665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5495504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宋体" w:hAnsi="宋体" w:eastAsia="仿宋_GB2312" w:cs="仿宋_GB2312"/>
          <w:color w:val="auto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</w:p>
    <w:p w14:paraId="7DCFF9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宋体" w:hAnsi="宋体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 w:cs="Times New Roman"/>
          <w:color w:val="auto"/>
          <w:sz w:val="32"/>
          <w:szCs w:val="32"/>
          <w:lang w:val="en-US" w:eastAsia="zh-CN"/>
        </w:rPr>
        <w:t>十、审计报告</w:t>
      </w:r>
    </w:p>
    <w:p w14:paraId="3C2613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黑体" w:cs="Times New Roman"/>
          <w:color w:val="auto"/>
          <w:sz w:val="32"/>
          <w:szCs w:val="32"/>
          <w:lang w:val="en-US" w:eastAsia="zh-CN"/>
        </w:rPr>
      </w:pPr>
      <w:r>
        <w:rPr>
          <w:color w:val="auto"/>
        </w:rPr>
        <w:drawing>
          <wp:inline distT="0" distB="0" distL="114300" distR="114300">
            <wp:extent cx="5219700" cy="7610475"/>
            <wp:effectExtent l="0" t="0" r="0" b="952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17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color w:val="auto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189230</wp:posOffset>
            </wp:positionV>
            <wp:extent cx="5153025" cy="7562850"/>
            <wp:effectExtent l="0" t="0" r="9525" b="0"/>
            <wp:wrapNone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B791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</w:p>
    <w:p w14:paraId="30965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</w:p>
    <w:p w14:paraId="2C237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</w:p>
    <w:p w14:paraId="31418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</w:p>
    <w:p w14:paraId="291177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</w:p>
    <w:p w14:paraId="4C895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</w:p>
    <w:p w14:paraId="0BAD5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</w:p>
    <w:p w14:paraId="06DC9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</w:p>
    <w:p w14:paraId="2C7FA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</w:p>
    <w:p w14:paraId="261332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</w:p>
    <w:p w14:paraId="7791C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</w:p>
    <w:p w14:paraId="26983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</w:p>
    <w:p w14:paraId="54BD5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</w:p>
    <w:p w14:paraId="6F110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</w:p>
    <w:p w14:paraId="0689C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</w:p>
    <w:p w14:paraId="51673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</w:p>
    <w:p w14:paraId="46C54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</w:p>
    <w:p w14:paraId="334C5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</w:p>
    <w:p w14:paraId="2820E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</w:p>
    <w:p w14:paraId="0356A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</w:p>
    <w:p w14:paraId="4014D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</w:p>
    <w:p w14:paraId="2DFA7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仿宋_GB2312" w:cs="仿宋_GB2312"/>
          <w:color w:val="auto"/>
          <w:sz w:val="32"/>
          <w:szCs w:val="32"/>
          <w:lang w:val="en-US" w:eastAsia="zh-CN"/>
        </w:rPr>
      </w:pPr>
      <w:r>
        <w:rPr>
          <w:color w:val="auto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172085</wp:posOffset>
            </wp:positionH>
            <wp:positionV relativeFrom="paragraph">
              <wp:posOffset>151130</wp:posOffset>
            </wp:positionV>
            <wp:extent cx="5200650" cy="7591425"/>
            <wp:effectExtent l="0" t="0" r="0" b="9525"/>
            <wp:wrapNone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759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E32A4F8-868B-4FB5-B05F-A5DD2D9FB62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BDD1537-3A66-4255-B5EF-F4EB901DAF6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D76A2A2-9131-4DAC-85D0-647E253FE17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049400E2-2669-476A-A505-BF0DBAFD52E2}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5" w:fontKey="{ABF1C0D6-AD7B-4B73-9A6C-3DF158FE378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9D5F6FB9-4510-4B79-9699-0CEC9DDE579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7" w:fontKey="{59CBAB58-B4BD-4DAF-BE62-4646C781649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DE6C2B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3A4F48">
                          <w:pPr>
                            <w:pStyle w:val="10"/>
                            <w:rPr>
                              <w:sz w:val="28"/>
                              <w:szCs w:val="44"/>
                            </w:rPr>
                          </w:pPr>
                          <w:r>
                            <w:rPr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44"/>
                            </w:rPr>
                            <w:t>4</w: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3A4F48">
                    <w:pPr>
                      <w:pStyle w:val="10"/>
                      <w:rPr>
                        <w:sz w:val="28"/>
                        <w:szCs w:val="44"/>
                      </w:rPr>
                    </w:pPr>
                    <w:r>
                      <w:rPr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sz w:val="28"/>
                        <w:szCs w:val="44"/>
                      </w:rPr>
                      <w:t>4</w:t>
                    </w:r>
                    <w:r>
                      <w:rPr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59A572"/>
    <w:multiLevelType w:val="singleLevel"/>
    <w:tmpl w:val="D559A57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iMzNiNGZkZDYxMzFhODE0N2EzNjBlYmIzNDdiM2QifQ=="/>
  </w:docVars>
  <w:rsids>
    <w:rsidRoot w:val="00172A27"/>
    <w:rsid w:val="001333BF"/>
    <w:rsid w:val="001E07E1"/>
    <w:rsid w:val="00310E5E"/>
    <w:rsid w:val="006860E5"/>
    <w:rsid w:val="006935EF"/>
    <w:rsid w:val="006F00A1"/>
    <w:rsid w:val="008720CC"/>
    <w:rsid w:val="008B1F9F"/>
    <w:rsid w:val="008B6977"/>
    <w:rsid w:val="0092484F"/>
    <w:rsid w:val="00936CFD"/>
    <w:rsid w:val="009C3DB8"/>
    <w:rsid w:val="00BF2C7D"/>
    <w:rsid w:val="00E8668F"/>
    <w:rsid w:val="00F827FE"/>
    <w:rsid w:val="01693F33"/>
    <w:rsid w:val="019329D2"/>
    <w:rsid w:val="01C546A6"/>
    <w:rsid w:val="020D56D1"/>
    <w:rsid w:val="0226098D"/>
    <w:rsid w:val="025B7D4C"/>
    <w:rsid w:val="02FE645A"/>
    <w:rsid w:val="032A745A"/>
    <w:rsid w:val="034A2F1A"/>
    <w:rsid w:val="03AC0E8D"/>
    <w:rsid w:val="05241B93"/>
    <w:rsid w:val="05CF342C"/>
    <w:rsid w:val="05E67657"/>
    <w:rsid w:val="06BF4B18"/>
    <w:rsid w:val="07061E25"/>
    <w:rsid w:val="07D92CA7"/>
    <w:rsid w:val="07DA333A"/>
    <w:rsid w:val="07F77D7D"/>
    <w:rsid w:val="08490CEA"/>
    <w:rsid w:val="08A70B11"/>
    <w:rsid w:val="099345C6"/>
    <w:rsid w:val="09BE0FCB"/>
    <w:rsid w:val="0A055DB0"/>
    <w:rsid w:val="0A4725C3"/>
    <w:rsid w:val="0A4D601B"/>
    <w:rsid w:val="0A5E1324"/>
    <w:rsid w:val="0AA163CA"/>
    <w:rsid w:val="0BE300DD"/>
    <w:rsid w:val="0C1729FA"/>
    <w:rsid w:val="0D023D3D"/>
    <w:rsid w:val="0D1D2FD6"/>
    <w:rsid w:val="0D506F40"/>
    <w:rsid w:val="0D536B63"/>
    <w:rsid w:val="0FA61B22"/>
    <w:rsid w:val="106829C8"/>
    <w:rsid w:val="1187310D"/>
    <w:rsid w:val="11DB3201"/>
    <w:rsid w:val="11F35B92"/>
    <w:rsid w:val="131465A9"/>
    <w:rsid w:val="140440C4"/>
    <w:rsid w:val="143F42F3"/>
    <w:rsid w:val="14471441"/>
    <w:rsid w:val="153F0E6E"/>
    <w:rsid w:val="16831A50"/>
    <w:rsid w:val="182751C6"/>
    <w:rsid w:val="18583BD5"/>
    <w:rsid w:val="19496B6D"/>
    <w:rsid w:val="19BB57CE"/>
    <w:rsid w:val="19C04A29"/>
    <w:rsid w:val="1A1844C7"/>
    <w:rsid w:val="1A7501B5"/>
    <w:rsid w:val="1AA350E9"/>
    <w:rsid w:val="1AFC2ED4"/>
    <w:rsid w:val="1B902BF4"/>
    <w:rsid w:val="1BAA4EF4"/>
    <w:rsid w:val="1BAD248A"/>
    <w:rsid w:val="1C011483"/>
    <w:rsid w:val="1C71170A"/>
    <w:rsid w:val="1C871B6B"/>
    <w:rsid w:val="1CD64FE9"/>
    <w:rsid w:val="1CEF3C36"/>
    <w:rsid w:val="1D8D58F2"/>
    <w:rsid w:val="1E234C86"/>
    <w:rsid w:val="1F6B2344"/>
    <w:rsid w:val="1F7E6617"/>
    <w:rsid w:val="1FC72AD8"/>
    <w:rsid w:val="205A1343"/>
    <w:rsid w:val="209A10AD"/>
    <w:rsid w:val="20F3297E"/>
    <w:rsid w:val="20FE6C32"/>
    <w:rsid w:val="214A3EED"/>
    <w:rsid w:val="21566F7B"/>
    <w:rsid w:val="2250591D"/>
    <w:rsid w:val="23023659"/>
    <w:rsid w:val="23D66121"/>
    <w:rsid w:val="24ED4650"/>
    <w:rsid w:val="25DA646A"/>
    <w:rsid w:val="27272375"/>
    <w:rsid w:val="27503B23"/>
    <w:rsid w:val="27E17689"/>
    <w:rsid w:val="283241F1"/>
    <w:rsid w:val="2AFB1FE1"/>
    <w:rsid w:val="2B742EEA"/>
    <w:rsid w:val="2C5305D7"/>
    <w:rsid w:val="2CF3776A"/>
    <w:rsid w:val="2CFA10A3"/>
    <w:rsid w:val="2D0B238C"/>
    <w:rsid w:val="2D427D9E"/>
    <w:rsid w:val="2D64117D"/>
    <w:rsid w:val="2DF7104E"/>
    <w:rsid w:val="2DFA0C45"/>
    <w:rsid w:val="2EDB3110"/>
    <w:rsid w:val="30D9342F"/>
    <w:rsid w:val="31436C0A"/>
    <w:rsid w:val="3149472F"/>
    <w:rsid w:val="31C848D8"/>
    <w:rsid w:val="32002EBC"/>
    <w:rsid w:val="32443B71"/>
    <w:rsid w:val="334A2F74"/>
    <w:rsid w:val="33D07F62"/>
    <w:rsid w:val="351F7B4D"/>
    <w:rsid w:val="353963FB"/>
    <w:rsid w:val="35FF564E"/>
    <w:rsid w:val="36B4356B"/>
    <w:rsid w:val="36D774F2"/>
    <w:rsid w:val="370F49FE"/>
    <w:rsid w:val="38FD5BF0"/>
    <w:rsid w:val="390B40AB"/>
    <w:rsid w:val="3A302A82"/>
    <w:rsid w:val="3A363103"/>
    <w:rsid w:val="3B255741"/>
    <w:rsid w:val="3C284474"/>
    <w:rsid w:val="3CF163E7"/>
    <w:rsid w:val="3D734E8A"/>
    <w:rsid w:val="3DA32451"/>
    <w:rsid w:val="3E7E7642"/>
    <w:rsid w:val="3FF41B75"/>
    <w:rsid w:val="40223A63"/>
    <w:rsid w:val="40E41DFF"/>
    <w:rsid w:val="416154C3"/>
    <w:rsid w:val="418C651A"/>
    <w:rsid w:val="421C40FC"/>
    <w:rsid w:val="423F410D"/>
    <w:rsid w:val="425A3ACB"/>
    <w:rsid w:val="44775260"/>
    <w:rsid w:val="44CE29A6"/>
    <w:rsid w:val="461E795D"/>
    <w:rsid w:val="464A6912"/>
    <w:rsid w:val="46A3612D"/>
    <w:rsid w:val="46E14C12"/>
    <w:rsid w:val="46FC7CAF"/>
    <w:rsid w:val="477F0595"/>
    <w:rsid w:val="48210A73"/>
    <w:rsid w:val="4895434A"/>
    <w:rsid w:val="49A92B68"/>
    <w:rsid w:val="4A070CAF"/>
    <w:rsid w:val="4BD5286C"/>
    <w:rsid w:val="4C2802D5"/>
    <w:rsid w:val="4C334453"/>
    <w:rsid w:val="4C9371EE"/>
    <w:rsid w:val="4CD54E0C"/>
    <w:rsid w:val="4D1140CB"/>
    <w:rsid w:val="4D5C2C59"/>
    <w:rsid w:val="4D911CF9"/>
    <w:rsid w:val="4DF61D44"/>
    <w:rsid w:val="4EDD6C44"/>
    <w:rsid w:val="4F775B04"/>
    <w:rsid w:val="537854B5"/>
    <w:rsid w:val="54F80312"/>
    <w:rsid w:val="5544133C"/>
    <w:rsid w:val="56446F6C"/>
    <w:rsid w:val="56A603BA"/>
    <w:rsid w:val="56E94343"/>
    <w:rsid w:val="57745A65"/>
    <w:rsid w:val="57B570EE"/>
    <w:rsid w:val="580A1D79"/>
    <w:rsid w:val="58CD149A"/>
    <w:rsid w:val="58F92290"/>
    <w:rsid w:val="5A665EC5"/>
    <w:rsid w:val="5B150ED7"/>
    <w:rsid w:val="5B863E13"/>
    <w:rsid w:val="5C280FA0"/>
    <w:rsid w:val="5C3C7A89"/>
    <w:rsid w:val="5CDD6A78"/>
    <w:rsid w:val="5CEF4FA6"/>
    <w:rsid w:val="5DB26320"/>
    <w:rsid w:val="5DBF512A"/>
    <w:rsid w:val="5E57634F"/>
    <w:rsid w:val="5EA82DBE"/>
    <w:rsid w:val="5F196E06"/>
    <w:rsid w:val="5F4104EC"/>
    <w:rsid w:val="5F6070D4"/>
    <w:rsid w:val="607710FB"/>
    <w:rsid w:val="615F40BA"/>
    <w:rsid w:val="622B770E"/>
    <w:rsid w:val="62F530D5"/>
    <w:rsid w:val="63163A3E"/>
    <w:rsid w:val="63A76CBD"/>
    <w:rsid w:val="63C03819"/>
    <w:rsid w:val="63E66807"/>
    <w:rsid w:val="641206A9"/>
    <w:rsid w:val="648F72BB"/>
    <w:rsid w:val="64E96CAE"/>
    <w:rsid w:val="64F95E45"/>
    <w:rsid w:val="65484DEB"/>
    <w:rsid w:val="65E833F5"/>
    <w:rsid w:val="665660E9"/>
    <w:rsid w:val="66870542"/>
    <w:rsid w:val="672D121C"/>
    <w:rsid w:val="67697759"/>
    <w:rsid w:val="68550B65"/>
    <w:rsid w:val="686B24E9"/>
    <w:rsid w:val="69DF1536"/>
    <w:rsid w:val="6A506DCE"/>
    <w:rsid w:val="6AB66A49"/>
    <w:rsid w:val="6BEC4054"/>
    <w:rsid w:val="6C7D68DC"/>
    <w:rsid w:val="6DB85B2B"/>
    <w:rsid w:val="6E482CB0"/>
    <w:rsid w:val="6EF17524"/>
    <w:rsid w:val="705F0856"/>
    <w:rsid w:val="712C19FB"/>
    <w:rsid w:val="71637699"/>
    <w:rsid w:val="71C70D25"/>
    <w:rsid w:val="71CD454E"/>
    <w:rsid w:val="7363328F"/>
    <w:rsid w:val="73F41AF0"/>
    <w:rsid w:val="75104791"/>
    <w:rsid w:val="75282570"/>
    <w:rsid w:val="76401D5F"/>
    <w:rsid w:val="785904E4"/>
    <w:rsid w:val="79B002F1"/>
    <w:rsid w:val="7A1F5CD2"/>
    <w:rsid w:val="7A8B10EA"/>
    <w:rsid w:val="7AAE6A84"/>
    <w:rsid w:val="7ADC590D"/>
    <w:rsid w:val="7B3A3357"/>
    <w:rsid w:val="7B9F56A4"/>
    <w:rsid w:val="7BE81FC4"/>
    <w:rsid w:val="7C276E25"/>
    <w:rsid w:val="7CEC0606"/>
    <w:rsid w:val="7CF45A00"/>
    <w:rsid w:val="7DCE6F97"/>
    <w:rsid w:val="7DE3243D"/>
    <w:rsid w:val="7E2C3CBE"/>
    <w:rsid w:val="7E507855"/>
    <w:rsid w:val="7F6132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qFormat="1" w:uiPriority="99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qFormat/>
    <w:uiPriority w:val="0"/>
    <w:pPr>
      <w:keepNext/>
      <w:keepLines/>
      <w:widowControl w:val="0"/>
      <w:spacing w:before="120" w:after="120" w:line="360" w:lineRule="exact"/>
      <w:jc w:val="both"/>
      <w:outlineLvl w:val="2"/>
    </w:pPr>
    <w:rPr>
      <w:bCs/>
      <w:kern w:val="2"/>
      <w:szCs w:val="32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te Heading"/>
    <w:basedOn w:val="1"/>
    <w:next w:val="1"/>
    <w:unhideWhenUsed/>
    <w:qFormat/>
    <w:uiPriority w:val="99"/>
    <w:pPr>
      <w:jc w:val="center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Body Text Indent"/>
    <w:basedOn w:val="1"/>
    <w:qFormat/>
    <w:uiPriority w:val="0"/>
    <w:pPr>
      <w:spacing w:before="120" w:after="160"/>
      <w:ind w:firstLine="720"/>
      <w:jc w:val="both"/>
    </w:pPr>
    <w:rPr>
      <w:rFonts w:ascii="宋体"/>
      <w:spacing w:val="20"/>
      <w:lang w:eastAsia="zh-CN"/>
    </w:rPr>
  </w:style>
  <w:style w:type="paragraph" w:styleId="8">
    <w:name w:val="Body Text Indent 2"/>
    <w:basedOn w:val="1"/>
    <w:qFormat/>
    <w:uiPriority w:val="0"/>
    <w:pPr>
      <w:spacing w:before="120" w:after="160"/>
      <w:ind w:firstLine="480"/>
      <w:jc w:val="both"/>
    </w:pPr>
    <w:rPr>
      <w:rFonts w:ascii="宋体"/>
      <w:spacing w:val="20"/>
    </w:rPr>
  </w:style>
  <w:style w:type="paragraph" w:styleId="9">
    <w:name w:val="Balloon Text"/>
    <w:basedOn w:val="1"/>
    <w:link w:val="19"/>
    <w:qFormat/>
    <w:uiPriority w:val="0"/>
    <w:rPr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Normal (Web)"/>
    <w:basedOn w:val="1"/>
    <w:qFormat/>
    <w:uiPriority w:val="0"/>
    <w:rPr>
      <w:sz w:val="24"/>
    </w:rPr>
  </w:style>
  <w:style w:type="paragraph" w:styleId="13">
    <w:name w:val="Body Text First Indent"/>
    <w:basedOn w:val="6"/>
    <w:qFormat/>
    <w:uiPriority w:val="0"/>
    <w:pPr>
      <w:spacing w:line="560" w:lineRule="exact"/>
      <w:ind w:firstLine="880" w:firstLineChars="200"/>
    </w:pPr>
    <w:rPr>
      <w:rFonts w:ascii="Times New Roman" w:hAnsi="Times New Roman" w:eastAsia="仿宋_GB2312"/>
      <w:sz w:val="32"/>
      <w:szCs w:val="22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page number"/>
    <w:qFormat/>
    <w:uiPriority w:val="0"/>
  </w:style>
  <w:style w:type="character" w:styleId="18">
    <w:name w:val="Hyperlink"/>
    <w:basedOn w:val="16"/>
    <w:qFormat/>
    <w:uiPriority w:val="0"/>
    <w:rPr>
      <w:color w:val="0000FF"/>
      <w:u w:val="single"/>
    </w:rPr>
  </w:style>
  <w:style w:type="character" w:customStyle="1" w:styleId="19">
    <w:name w:val="批注框文本 字符"/>
    <w:link w:val="9"/>
    <w:qFormat/>
    <w:uiPriority w:val="0"/>
    <w:rPr>
      <w:kern w:val="2"/>
      <w:sz w:val="18"/>
      <w:szCs w:val="18"/>
    </w:rPr>
  </w:style>
  <w:style w:type="paragraph" w:customStyle="1" w:styleId="20">
    <w:name w:val="xl37"/>
    <w:basedOn w:val="1"/>
    <w:qFormat/>
    <w:uiPriority w:val="0"/>
    <w:pPr>
      <w:pBdr>
        <w:bottom w:val="single" w:color="auto" w:sz="4" w:space="0"/>
      </w:pBdr>
      <w:spacing w:before="100" w:beforeAutospacing="1" w:after="100" w:afterAutospacing="1" w:line="240" w:lineRule="auto"/>
      <w:jc w:val="right"/>
    </w:pPr>
    <w:rPr>
      <w:rFonts w:hint="eastAsia" w:ascii="楷体_GB2312" w:hAnsi="Arial Unicode MS" w:eastAsia="楷体_GB2312"/>
      <w:sz w:val="24"/>
      <w:szCs w:val="24"/>
    </w:rPr>
  </w:style>
  <w:style w:type="character" w:customStyle="1" w:styleId="21">
    <w:name w:val="font61"/>
    <w:basedOn w:val="16"/>
    <w:qFormat/>
    <w:uiPriority w:val="0"/>
    <w:rPr>
      <w:rFonts w:ascii="仿宋_GB2312" w:eastAsia="仿宋_GB2312" w:cs="仿宋_GB2312"/>
      <w:b/>
      <w:bCs/>
      <w:color w:val="000000"/>
      <w:sz w:val="20"/>
      <w:szCs w:val="20"/>
      <w:u w:val="none"/>
    </w:rPr>
  </w:style>
  <w:style w:type="character" w:customStyle="1" w:styleId="22">
    <w:name w:val="font11"/>
    <w:basedOn w:val="16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23">
    <w:name w:val="font41"/>
    <w:basedOn w:val="16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24">
    <w:name w:val="font2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6">
    <w:name w:val="font31"/>
    <w:basedOn w:val="1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7">
    <w:name w:val="font51"/>
    <w:basedOn w:val="16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28">
    <w:name w:val="font71"/>
    <w:basedOn w:val="16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paragraph" w:customStyle="1" w:styleId="29">
    <w:name w:val="xl44"/>
    <w:basedOn w:val="1"/>
    <w:qFormat/>
    <w:uiPriority w:val="0"/>
    <w:pPr>
      <w:pBdr>
        <w:bottom w:val="single" w:color="auto" w:sz="4" w:space="0"/>
      </w:pBdr>
      <w:spacing w:before="100" w:beforeAutospacing="1" w:after="100" w:afterAutospacing="1" w:line="240" w:lineRule="auto"/>
      <w:jc w:val="center"/>
    </w:pPr>
    <w:rPr>
      <w:rFonts w:hint="eastAsia" w:ascii="楷体_GB2312" w:hAnsi="Arial Unicode MS" w:eastAsia="楷体_GB2312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4d95d63d-73c8-4167-90a7-26f9164419d1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4AB22699</paraID>
      <start>1</start>
      <end>2</end>
      <status>unmodified</status>
      <modifiedWord/>
      <trackRevisions>false</trackRevisions>
    </reviewItem>
    <reviewItem>
      <errorID>7c903775-e2d9-4a23-b0e4-9bafb439230c</errorID>
      <errorWord>2-3年</errorWord>
      <group>L1_Word</group>
      <groupName>字词问题</groupName>
      <ability>L2_Typo</ability>
      <abilityName>字词错误</abilityName>
      <candidateList>
        <item>2～3年</item>
      </candidateList>
      <explain/>
      <paraID>36640397</paraID>
      <start>0</start>
      <end>4</end>
      <status>unmodified</status>
      <modifiedWord/>
      <trackRevisions>false</trackRevisions>
    </reviewItem>
    <reviewItem>
      <errorID>b7580f7c-1fdd-49e8-802a-d71b738e6cd6</errorID>
      <errorWord>:</errorWord>
      <group>L1_Format</group>
      <groupName>格式问题</groupName>
      <ability>L2_HalfPunc_CN</ability>
      <abilityName/>
      <candidateList>
        <item>：</item>
      </candidateList>
      <explain>文本全半角错误。</explain>
      <paraID> EE82756</paraID>
      <start>6</start>
      <end>7</end>
      <status>unmodified</status>
      <modifiedWord/>
      <trackRevisions>false</trackRevisions>
    </reviewItem>
    <reviewItem>
      <errorID>fd4065aa-dfe8-4771-bf26-a8b1419a4349</errorID>
      <errorWord>-</errorWord>
      <group>L1_Format</group>
      <groupName>格式问题</groupName>
      <ability>L2_HalfPunc_CN</ability>
      <abilityName/>
      <candidateList>
        <item>－</item>
      </candidateList>
      <explain>文本全半角错误。</explain>
      <paraID>6DB1566F</paraID>
      <start>28</start>
      <end>29</end>
      <status>unmodified</status>
      <modifiedWord/>
      <trackRevisions>false</trackRevisions>
    </reviewItem>
    <reviewItem>
      <errorID>56961b94-dfa2-404b-8475-63f489a85b5a</errorID>
      <errorWord>-</errorWord>
      <group>L1_Format</group>
      <groupName>格式问题</groupName>
      <ability>L2_HalfPunc_CN</ability>
      <abilityName/>
      <candidateList>
        <item>－</item>
      </candidateList>
      <explain>文本全半角错误。</explain>
      <paraID>5F4C7A38</paraID>
      <start>17</start>
      <end>18</end>
      <status>unmodified</status>
      <modifiedWord/>
      <trackRevisions>false</trackRevisions>
    </reviewItem>
    <reviewItem>
      <errorID>2a00026a-d7fc-41c0-af1a-617a5acc22ec</errorID>
      <errorWord>-</errorWord>
      <group>L1_Format</group>
      <groupName>格式问题</groupName>
      <ability>L2_HalfPunc_CN</ability>
      <abilityName/>
      <candidateList>
        <item>－</item>
      </candidateList>
      <explain>文本全半角错误。</explain>
      <paraID>35F43B33</paraID>
      <start>21</start>
      <end>22</end>
      <status>unmodified</status>
      <modifiedWord/>
      <trackRevisions>false</trackRevisions>
    </reviewItem>
    <reviewItem>
      <errorID>59e9f2d0-d914-407b-b6e7-8a520055454b</errorID>
      <errorWord>-</errorWord>
      <group>L1_Format</group>
      <groupName>格式问题</groupName>
      <ability>L2_HalfPunc_CN</ability>
      <abilityName/>
      <candidateList>
        <item>－</item>
      </candidateList>
      <explain>文本全半角错误。</explain>
      <paraID>11528FB3</paraID>
      <start>22</start>
      <end>23</end>
      <status>unmodified</status>
      <modifiedWord/>
      <trackRevisions>false</trackRevisions>
    </reviewItem>
    <reviewItem>
      <errorID>76a03dce-bb3f-41bb-9466-a886ef8c42a2</errorID>
      <errorWord>-</errorWord>
      <group>L1_Format</group>
      <groupName>格式问题</groupName>
      <ability>L2_HalfPunc_CN</ability>
      <abilityName/>
      <candidateList>
        <item>－</item>
      </candidateList>
      <explain>文本全半角错误。</explain>
      <paraID>28CA1B22</paraID>
      <start>20</start>
      <end>21</end>
      <status>unmodified</status>
      <modifiedWord/>
      <trackRevisions>false</trackRevisions>
    </reviewItem>
    <reviewItem>
      <errorID>fa4273c8-2533-44a5-9833-97c976f913e7</errorID>
      <errorWord>-</errorWord>
      <group>L1_Format</group>
      <groupName>格式问题</groupName>
      <ability>L2_HalfPunc_CN</ability>
      <abilityName/>
      <candidateList>
        <item>－</item>
      </candidateList>
      <explain>文本全半角错误。</explain>
      <paraID>1CCA93E7</paraID>
      <start>20</start>
      <end>21</end>
      <status>unmodified</status>
      <modifiedWord/>
      <trackRevisions>false</trackRevisions>
    </reviewItem>
    <reviewItem>
      <errorID>80c3160c-c907-49e1-84ab-32a5b48fb010</errorID>
      <errorWord>-</errorWord>
      <group>L1_Format</group>
      <groupName>格式问题</groupName>
      <ability>L2_HalfPunc_CN</ability>
      <abilityName/>
      <candidateList>
        <item>－</item>
      </candidateList>
      <explain>文本全半角错误。</explain>
      <paraID>7C9C34EE</paraID>
      <start>20</start>
      <end>21</end>
      <status>unmodified</status>
      <modifiedWord/>
      <trackRevisions>false</trackRevisions>
    </reviewItem>
    <reviewItem>
      <errorID>8852f534-ec85-458d-b244-316a9492257b</errorID>
      <errorWord>*</errorWord>
      <group>L1_Punc</group>
      <groupName>标点问题</groupName>
      <ability>L2_Punc_CN</ability>
      <abilityName/>
      <candidateList/>
      <explain/>
      <paraID>5E92BCE1</paraID>
      <start>5</start>
      <end>6</end>
      <status>unmodified</status>
      <modifiedWord/>
      <trackRevisions>false</trackRevisions>
    </reviewItem>
    <reviewItem>
      <errorID>e429069f-0180-4430-8cd1-06e7edadb1fd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6B9F276C</paraID>
      <start>38</start>
      <end>39</end>
      <status>unmodified</status>
      <modifiedWord/>
      <trackRevisions>false</trackRevisions>
    </reviewItem>
    <reviewItem>
      <errorID>c69bc574-0e1e-422f-91a9-e03a988a0f83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6B9F276C</paraID>
      <start>45</start>
      <end>46</end>
      <status>unmodified</status>
      <modifiedWord/>
      <trackRevisions>false</trackRevisions>
    </reviewItem>
    <reviewItem>
      <errorID>0b8231c8-67d0-4a89-8827-9c5f71528b82</errorID>
      <errorWord>截止</errorWord>
      <group>L1_Word</group>
      <groupName>字词问题</groupName>
      <ability>L2_Typo</ability>
      <abilityName>字词错误</abilityName>
      <candidateList>
        <item>截至</item>
      </candidateList>
      <explain>存在发音相同字词的误用。</explain>
      <paraID>6689D951</paraID>
      <start>97</start>
      <end>99</end>
      <status>modified</status>
      <modifiedWord>截至</modifiedWord>
      <trackRevisions>false</trackRevisions>
    </reviewItem>
    <reviewItem>
      <errorID>42114eba-6838-4907-b5fb-dc5dab59f2c3</errorID>
      <errorWord>高质量发展绩效考核</errorWord>
      <group>L1_Political</group>
      <groupName>政治性问题</groupName>
      <ability>L2_Keyword</ability>
      <abilityName>固定表述</abilityName>
      <candidateList>
        <item>高质量发展综合绩效考核</item>
      </candidateList>
      <explain>词汇“高质量发展综合绩效考核”在特定场景下为固定表述形式，请确认此处的“高质量发展绩效考核”是否存在不当。</explain>
      <paraID> AB3A1BC</paraID>
      <start>22</start>
      <end>31</end>
      <status>unmodified</status>
      <modifiedWord/>
      <trackRevisions>false</trackRevisions>
    </reviewItem>
    <reviewItem>
      <errorID>3f604ba4-0a6b-498c-9a23-3be1b989f2e0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 C892B49</paraID>
      <start>34</start>
      <end>35</end>
      <status>modified</status>
      <modifiedWord>，</modifiedWord>
      <trackRevisions>false</trackRevisions>
    </reviewItem>
    <reviewItem>
      <errorID>1c390a98-2fa2-4fe0-923c-35049d7c1c93</errorID>
      <errorWord>护</errorWord>
      <group>L1_Word</group>
      <groupName>字词问题</groupName>
      <ability>L2_Typo</ability>
      <abilityName>字词错误</abilityName>
      <candidateList>
        <item>护和</item>
      </candidateList>
      <explain/>
      <paraID>16513975</paraID>
      <start>410</start>
      <end>412</end>
      <status>modified</status>
      <modifiedWord>护和</modifiedWord>
      <trackRevisions>false</trackRevisions>
    </reviewItem>
    <reviewItem>
      <errorID>e3608be1-d6b2-48d3-962a-91892d772718</errorID>
      <errorWord>省委省政府</errorWord>
      <group>L1_Political</group>
      <groupName>政治性问题</groupName>
      <ability>L2_Keyword</ability>
      <abilityName>固定表述</abilityName>
      <candidateList>
        <item>省委、省政府</item>
      </candidateList>
      <explain>注意检查当前固定表述标点是否使用规范。</explain>
      <paraID>4DACD944</paraID>
      <start>33</start>
      <end>39</end>
      <status>modified</status>
      <modifiedWord>省委、省政府</modifiedWord>
      <trackRevisions>false</trackRevisions>
    </reviewItem>
    <reviewItem>
      <errorID>259d3bed-d179-4f89-a5ef-6929007c024c</errorID>
      <errorWord>障</errorWord>
      <group>L1_Word</group>
      <groupName>字词问题</groupName>
      <ability>L2_Typo</ability>
      <abilityName>字词错误</abilityName>
      <candidateList>
        <item>障和</item>
      </candidateList>
      <explain/>
      <paraID>4DACD944</paraID>
      <start>146</start>
      <end>148</end>
      <status>modified</status>
      <modifiedWord>障和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9f2531-0c87-4459-a907-4c7909ceb6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1442</Words>
  <Characters>3290</Characters>
  <Lines>1</Lines>
  <Paragraphs>1</Paragraphs>
  <TotalTime>146</TotalTime>
  <ScaleCrop>false</ScaleCrop>
  <LinksUpToDate>false</LinksUpToDate>
  <CharactersWithSpaces>3436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2020-09-03T02:24:00Z</dcterms:created>
  <dc:creator>sdgk</dc:creator>
  <cp:lastModifiedBy>王锐</cp:lastModifiedBy>
  <cp:lastPrinted>2026-06-26T03:45:57Z</cp:lastPrinted>
  <dcterms:modified xsi:type="dcterms:W3CDTF">2026-06-26T03:49:52Z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FBFA4BF78BAA4AB294CC96E93BF5FDA2_13</vt:lpwstr>
  </property>
  <property fmtid="{D5CDD505-2E9C-101B-9397-08002B2CF9AE}" pid="4" name="KSOTemplateDocerSaveRecord">
    <vt:lpwstr>eyJoZGlkIjoiOWYxMGM2Mjg4N2E5NmY0NzIzODNhMGE4OGE5NTlhYTAiLCJ1c2VySWQiOiIxNjc0MDQwODgwIn0=</vt:lpwstr>
  </property>
</Properties>
</file>